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Bautagebuch-Vorlage: der Tagesbericht, der Jahre später noch trägt</w:t>
      </w:r>
    </w:p>
    <w:p>
      <w:pPr>
        <w:spacing w:after="240"/>
      </w:pPr>
      <w:r>
        <w:rPr>
          <w:color w:val="666666"/>
          <w:sz w:val="16"/>
          <w:szCs w:val="16"/>
        </w:rPr>
        <w:t xml:space="preserve">Open Experience GmbH · Stand: 8. September 2026 · Online-Fassung mit Erläuterungen: https://openexperience.de/de/wissen/bautagebuch-vorlage/</w:t>
      </w:r>
    </w:p>
    <w:p>
      <w:pPr>
        <w:spacing w:after="200"/>
      </w:pPr>
      <w:r>
        <w:t xml:space="preserve">Ein Tagesbericht hält je Bautag fest: Datum und Witterung, anwesende Firmen mit Personalstärke, ausgeführte Leistungen mit Ort, eingesetzte Geräte, Lieferungen mit Lieferscheinnummer, Begehungen und Besprechungen, Behinderungen und Störungen mit Uhrzeit, Anordnungen und Entscheidungen mit Adressat und Frist sowie besondere Vorkommnisse und die Nummern der Fotos des Tages. Entscheidend sind nicht die Felder, sondern drei Eigenschaften: fortlaufend geführt, zeitnah geschrieben und mit Fotos und Anlagen verknüpft. Ein Wochen später rekonstruiertes Tagebuch verliert seinen Beweiswert — genau das prüfen Gerichte und Sachverständige zuerst.</w:t>
      </w:r>
    </w:p>
    <w:p>
      <w:pPr>
        <w:pBdr>
          <w:top w:val="single" w:color="BBBBBB" w:sz="4" w:space="6"/>
          <w:bottom w:val="single" w:color="BBBBBB" w:sz="4" w:space="6"/>
          <w:left w:val="single" w:color="BBBBBB" w:sz="4" w:space="6"/>
          <w:right w:val="single" w:color="BBBBBB" w:sz="4" w:space="6"/>
        </w:pBdr>
        <w:spacing w:after="200"/>
      </w:pPr>
      <w:r>
        <w:rPr>
          <w:b/>
          <w:bCs/>
          <w:sz w:val="17"/>
          <w:szCs w:val="17"/>
        </w:rPr>
        <w:t xml:space="preserve">Haftungsausschluss:</w:t>
      </w:r>
      <w:r>
        <w:rPr>
          <w:color w:val="444444"/>
          <w:sz w:val="17"/>
          <w:szCs w:val="17"/>
        </w:rPr>
        <w:t xml:space="preserve">Unverbindliches Muster, keine Rechtsberatung. Welche Abschnitte Ihr Vertrag verlangt, steht im Vertrag; Behinderungsanzeigen und Anordnungen ersetzen das Tagebuch nicht — sie werden darin nur dokumentiert. Rechtsstand Deutschland.</w:t>
      </w:r>
    </w:p>
    <w:p>
      <w:pPr>
        <w:pStyle w:val="Heading2"/>
        <w:pageBreakBefore/>
      </w:pPr>
      <w:r>
        <w:t xml:space="preserve">Bautag 37 — Montag, 21.09.2026: ein normaler Tag</w:t>
      </w:r>
    </w:p>
    <w:p>
      <w:pPr>
        <w:spacing w:after="160"/>
      </w:pPr>
      <w:r>
        <w:rPr>
          <w:color w:val="444444"/>
        </w:rPr>
        <w:t xml:space="preserve">Witterung trocken, zwei Firmen auf der Baustelle, eine Freigabe vor dem Betonieren. So sieht ein Bericht aus, der nichts Besonderes meldet — und trotzdem später alles belegt.</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2400"/>
        <w:gridCol w:w="7600"/>
        <w:gridCol w:w="5138"/>
      </w:tblGrid>
      <w:tr>
        <w:trPr>
          <w:tblHeader/>
        </w:trPr>
        <w:tc>
          <w:tcPr>
            <w:tcW w:type="dxa" w:w="2400"/>
            <w:shd w:fill="F2F2F2" w:color="auto" w:val="clear"/>
            <w:tcMar>
              <w:top w:type="dxa" w:w="60"/>
              <w:left w:type="dxa" w:w="90"/>
              <w:bottom w:type="dxa" w:w="60"/>
              <w:right w:type="dxa" w:w="90"/>
            </w:tcMar>
          </w:tcPr>
          <w:p>
            <w:pPr>
              <w:jc w:val="left"/>
            </w:pPr>
            <w:r>
              <w:rPr>
                <w:b/>
                <w:bCs/>
                <w:sz w:val="15"/>
                <w:szCs w:val="15"/>
              </w:rPr>
              <w:t xml:space="preserve">Abschnitt</w:t>
            </w:r>
          </w:p>
        </w:tc>
        <w:tc>
          <w:tcPr>
            <w:tcW w:type="dxa" w:w="7600"/>
            <w:shd w:fill="F2F2F2" w:color="auto" w:val="clear"/>
            <w:tcMar>
              <w:top w:type="dxa" w:w="60"/>
              <w:left w:type="dxa" w:w="90"/>
              <w:bottom w:type="dxa" w:w="60"/>
              <w:right w:type="dxa" w:w="90"/>
            </w:tcMar>
          </w:tcPr>
          <w:p>
            <w:pPr>
              <w:jc w:val="left"/>
            </w:pPr>
            <w:r>
              <w:rPr>
                <w:b/>
                <w:bCs/>
                <w:sz w:val="15"/>
                <w:szCs w:val="15"/>
              </w:rPr>
              <w:t xml:space="preserve">Eintrag im Bericht</w:t>
            </w:r>
          </w:p>
        </w:tc>
        <w:tc>
          <w:tcPr>
            <w:tcW w:type="dxa" w:w="5138"/>
            <w:shd w:fill="F2F2F2" w:color="auto" w:val="clear"/>
            <w:tcMar>
              <w:top w:type="dxa" w:w="60"/>
              <w:left w:type="dxa" w:w="90"/>
              <w:bottom w:type="dxa" w:w="60"/>
              <w:right w:type="dxa" w:w="90"/>
            </w:tcMar>
          </w:tcPr>
          <w:p>
            <w:pPr>
              <w:jc w:val="left"/>
            </w:pPr>
            <w:r>
              <w:rPr>
                <w:b/>
                <w:bCs/>
                <w:sz w:val="15"/>
                <w:szCs w:val="15"/>
              </w:rPr>
              <w:t xml:space="preserve">Warum das zählt</w:t>
            </w:r>
          </w:p>
        </w:tc>
      </w:tr>
      <w:tr>
        <w:trPr>
          <w:cantSplit/>
        </w:trPr>
        <w:tc>
          <w:tcPr>
            <w:tcW w:type="dxa" w:w="2400"/>
            <w:tcMar>
              <w:top w:type="dxa" w:w="60"/>
              <w:left w:type="dxa" w:w="90"/>
              <w:bottom w:type="dxa" w:w="60"/>
              <w:right w:type="dxa" w:w="90"/>
            </w:tcMar>
          </w:tcPr>
          <w:p>
            <w:pPr>
              <w:jc w:val="left"/>
            </w:pPr>
            <w:r>
              <w:rPr>
                <w:b/>
                <w:bCs/>
                <w:sz w:val="17"/>
                <w:szCs w:val="17"/>
              </w:rPr>
              <w:t xml:space="preserve">Witterung</w:t>
            </w:r>
          </w:p>
        </w:tc>
        <w:tc>
          <w:tcPr>
            <w:tcW w:type="dxa" w:w="7600"/>
            <w:tcMar>
              <w:top w:type="dxa" w:w="60"/>
              <w:left w:type="dxa" w:w="90"/>
              <w:bottom w:type="dxa" w:w="60"/>
              <w:right w:type="dxa" w:w="90"/>
            </w:tcMar>
          </w:tcPr>
          <w:p>
            <w:pPr>
              <w:jc w:val="left"/>
            </w:pPr>
            <w:r>
              <w:rPr>
                <w:b w:val="false"/>
                <w:bCs w:val="false"/>
                <w:sz w:val="17"/>
                <w:szCs w:val="17"/>
              </w:rPr>
              <w:t xml:space="preserve">früh 9 °C, mittags 16 °C, trocken, Wind schwach (Quelle: Wetterdienst, Station Musterstadt)</w:t>
            </w:r>
          </w:p>
        </w:tc>
        <w:tc>
          <w:tcPr>
            <w:tcW w:type="dxa" w:w="5138"/>
            <w:tcMar>
              <w:top w:type="dxa" w:w="60"/>
              <w:left w:type="dxa" w:w="90"/>
              <w:bottom w:type="dxa" w:w="60"/>
              <w:right w:type="dxa" w:w="90"/>
            </w:tcMar>
          </w:tcPr>
          <w:p>
            <w:pPr>
              <w:jc w:val="left"/>
            </w:pPr>
            <w:r>
              <w:rPr>
                <w:b w:val="false"/>
                <w:bCs w:val="false"/>
                <w:sz w:val="17"/>
                <w:szCs w:val="17"/>
              </w:rPr>
              <w:t xml:space="preserve">Die Quelle macht den Wert nachprüfbar; ohne sie steht Aussage gegen Aussage.</w:t>
            </w:r>
          </w:p>
        </w:tc>
      </w:tr>
      <w:tr>
        <w:trPr>
          <w:cantSplit/>
        </w:trPr>
        <w:tc>
          <w:tcPr>
            <w:tcW w:type="dxa" w:w="2400"/>
            <w:tcMar>
              <w:top w:type="dxa" w:w="60"/>
              <w:left w:type="dxa" w:w="90"/>
              <w:bottom w:type="dxa" w:w="60"/>
              <w:right w:type="dxa" w:w="90"/>
            </w:tcMar>
          </w:tcPr>
          <w:p>
            <w:pPr>
              <w:jc w:val="left"/>
            </w:pPr>
            <w:r>
              <w:rPr>
                <w:b/>
                <w:bCs/>
                <w:sz w:val="17"/>
                <w:szCs w:val="17"/>
              </w:rPr>
              <w:t xml:space="preserve">Besetzung</w:t>
            </w:r>
          </w:p>
        </w:tc>
        <w:tc>
          <w:tcPr>
            <w:tcW w:type="dxa" w:w="7600"/>
            <w:tcMar>
              <w:top w:type="dxa" w:w="60"/>
              <w:left w:type="dxa" w:w="90"/>
              <w:bottom w:type="dxa" w:w="60"/>
              <w:right w:type="dxa" w:w="90"/>
            </w:tcMar>
          </w:tcPr>
          <w:p>
            <w:pPr>
              <w:jc w:val="left"/>
            </w:pPr>
            <w:r>
              <w:rPr>
                <w:b w:val="false"/>
                <w:bCs w:val="false"/>
                <w:sz w:val="17"/>
                <w:szCs w:val="17"/>
              </w:rPr>
              <w:t xml:space="preserve">Rohbau-Unternehmen A: 8 Personen (1 Polier, 7 Facharbeiter), Decke über EG; Elektro-Fachbetrieb B: 2 Personen, Leerrohre Decke EG</w:t>
            </w:r>
          </w:p>
        </w:tc>
        <w:tc>
          <w:tcPr>
            <w:tcW w:type="dxa" w:w="5138"/>
            <w:tcMar>
              <w:top w:type="dxa" w:w="60"/>
              <w:left w:type="dxa" w:w="90"/>
              <w:bottom w:type="dxa" w:w="60"/>
              <w:right w:type="dxa" w:w="90"/>
            </w:tcMar>
          </w:tcPr>
          <w:p>
            <w:pPr>
              <w:jc w:val="left"/>
            </w:pPr>
            <w:r>
              <w:rPr>
                <w:b w:val="false"/>
                <w:bCs w:val="false"/>
                <w:sz w:val="17"/>
                <w:szCs w:val="17"/>
              </w:rPr>
              <w:t xml:space="preserve">Personalstärke je Firma und Einsatzort — die Basis für jede spätere Bauzeit- und Stundenlohndiskussion.</w:t>
            </w:r>
          </w:p>
        </w:tc>
      </w:tr>
      <w:tr>
        <w:trPr>
          <w:cantSplit/>
        </w:trPr>
        <w:tc>
          <w:tcPr>
            <w:tcW w:type="dxa" w:w="2400"/>
            <w:tcMar>
              <w:top w:type="dxa" w:w="60"/>
              <w:left w:type="dxa" w:w="90"/>
              <w:bottom w:type="dxa" w:w="60"/>
              <w:right w:type="dxa" w:w="90"/>
            </w:tcMar>
          </w:tcPr>
          <w:p>
            <w:pPr>
              <w:jc w:val="left"/>
            </w:pPr>
            <w:r>
              <w:rPr>
                <w:b/>
                <w:bCs/>
                <w:sz w:val="17"/>
                <w:szCs w:val="17"/>
              </w:rPr>
              <w:t xml:space="preserve">Begehung</w:t>
            </w:r>
          </w:p>
        </w:tc>
        <w:tc>
          <w:tcPr>
            <w:tcW w:type="dxa" w:w="7600"/>
            <w:tcMar>
              <w:top w:type="dxa" w:w="60"/>
              <w:left w:type="dxa" w:w="90"/>
              <w:bottom w:type="dxa" w:w="60"/>
              <w:right w:type="dxa" w:w="90"/>
            </w:tcMar>
          </w:tcPr>
          <w:p>
            <w:pPr>
              <w:jc w:val="left"/>
            </w:pPr>
            <w:r>
              <w:rPr>
                <w:b w:val="false"/>
                <w:bCs w:val="false"/>
                <w:sz w:val="17"/>
                <w:szCs w:val="17"/>
              </w:rPr>
              <w:t xml:space="preserve">10:30 Bewehrungsabnahme Decke über EG, Achse 1–3, mit Polier Rohbau A: Lage, Durchmesser, Abstandhalter und Betondeckung geprüft, freigegeben; Fotos 112–118</w:t>
            </w:r>
          </w:p>
        </w:tc>
        <w:tc>
          <w:tcPr>
            <w:tcW w:type="dxa" w:w="5138"/>
            <w:tcMar>
              <w:top w:type="dxa" w:w="60"/>
              <w:left w:type="dxa" w:w="90"/>
              <w:bottom w:type="dxa" w:w="60"/>
              <w:right w:type="dxa" w:w="90"/>
            </w:tcMar>
          </w:tcPr>
          <w:p>
            <w:pPr>
              <w:jc w:val="left"/>
            </w:pPr>
            <w:r>
              <w:rPr>
                <w:b w:val="false"/>
                <w:bCs w:val="false"/>
                <w:sz w:val="17"/>
                <w:szCs w:val="17"/>
              </w:rPr>
              <w:t xml:space="preserve">Freigabe vor dem Betonieren mit Fotonummern: Nach dem Betonieren ist die Bewehrung nie wieder prüfbar.</w:t>
            </w:r>
          </w:p>
        </w:tc>
      </w:tr>
      <w:tr>
        <w:trPr>
          <w:cantSplit/>
        </w:trPr>
        <w:tc>
          <w:tcPr>
            <w:tcW w:type="dxa" w:w="2400"/>
            <w:tcMar>
              <w:top w:type="dxa" w:w="60"/>
              <w:left w:type="dxa" w:w="90"/>
              <w:bottom w:type="dxa" w:w="60"/>
              <w:right w:type="dxa" w:w="90"/>
            </w:tcMar>
          </w:tcPr>
          <w:p>
            <w:pPr>
              <w:jc w:val="left"/>
            </w:pPr>
            <w:r>
              <w:rPr>
                <w:b/>
                <w:bCs/>
                <w:sz w:val="17"/>
                <w:szCs w:val="17"/>
              </w:rPr>
              <w:t xml:space="preserve">Tagesleistungen</w:t>
            </w:r>
          </w:p>
        </w:tc>
        <w:tc>
          <w:tcPr>
            <w:tcW w:type="dxa" w:w="7600"/>
            <w:tcMar>
              <w:top w:type="dxa" w:w="60"/>
              <w:left w:type="dxa" w:w="90"/>
              <w:bottom w:type="dxa" w:w="60"/>
              <w:right w:type="dxa" w:w="90"/>
            </w:tcMar>
          </w:tcPr>
          <w:p>
            <w:pPr>
              <w:jc w:val="left"/>
            </w:pPr>
            <w:r>
              <w:rPr>
                <w:b w:val="false"/>
                <w:bCs w:val="false"/>
                <w:sz w:val="17"/>
                <w:szCs w:val="17"/>
              </w:rPr>
              <w:t xml:space="preserve">Rohbau A: Deckenschalung Achse 5–8 (etwa 120 m²), Bewehrung Achse 1–3 fertig; Elektro B: Leerrohre Decke EG Achse 1–3 verlegt, vor Betonage geprüft</w:t>
            </w:r>
          </w:p>
        </w:tc>
        <w:tc>
          <w:tcPr>
            <w:tcW w:type="dxa" w:w="5138"/>
            <w:tcMar>
              <w:top w:type="dxa" w:w="60"/>
              <w:left w:type="dxa" w:w="90"/>
              <w:bottom w:type="dxa" w:w="60"/>
              <w:right w:type="dxa" w:w="90"/>
            </w:tcMar>
          </w:tcPr>
          <w:p>
            <w:pPr>
              <w:jc w:val="left"/>
            </w:pPr>
            <w:r>
              <w:rPr>
                <w:b w:val="false"/>
                <w:bCs w:val="false"/>
                <w:sz w:val="17"/>
                <w:szCs w:val="17"/>
              </w:rPr>
              <w:t xml:space="preserve">Ort und Menge je Leistung machen den Fortschritt Tag für Tag nachvollziehbar.</w:t>
            </w:r>
          </w:p>
        </w:tc>
      </w:tr>
      <w:tr>
        <w:trPr>
          <w:cantSplit/>
        </w:trPr>
        <w:tc>
          <w:tcPr>
            <w:tcW w:type="dxa" w:w="2400"/>
            <w:tcMar>
              <w:top w:type="dxa" w:w="60"/>
              <w:left w:type="dxa" w:w="90"/>
              <w:bottom w:type="dxa" w:w="60"/>
              <w:right w:type="dxa" w:w="90"/>
            </w:tcMar>
          </w:tcPr>
          <w:p>
            <w:pPr>
              <w:jc w:val="left"/>
            </w:pPr>
            <w:r>
              <w:rPr>
                <w:b/>
                <w:bCs/>
                <w:sz w:val="17"/>
                <w:szCs w:val="17"/>
              </w:rPr>
              <w:t xml:space="preserve">Lieferungen</w:t>
            </w:r>
          </w:p>
        </w:tc>
        <w:tc>
          <w:tcPr>
            <w:tcW w:type="dxa" w:w="7600"/>
            <w:tcMar>
              <w:top w:type="dxa" w:w="60"/>
              <w:left w:type="dxa" w:w="90"/>
              <w:bottom w:type="dxa" w:w="60"/>
              <w:right w:type="dxa" w:w="90"/>
            </w:tcMar>
          </w:tcPr>
          <w:p>
            <w:pPr>
              <w:jc w:val="left"/>
            </w:pPr>
            <w:r>
              <w:rPr>
                <w:b w:val="false"/>
                <w:bCs w:val="false"/>
                <w:sz w:val="17"/>
                <w:szCs w:val="17"/>
              </w:rPr>
              <w:t xml:space="preserve">09:40 Betonstahl 4,2 t, Lieferschein 4711-0921, angenommen; 13:15 Schalungsmaterial, Lieferschein 88-217, angenommen</w:t>
            </w:r>
          </w:p>
        </w:tc>
        <w:tc>
          <w:tcPr>
            <w:tcW w:type="dxa" w:w="5138"/>
            <w:tcMar>
              <w:top w:type="dxa" w:w="60"/>
              <w:left w:type="dxa" w:w="90"/>
              <w:bottom w:type="dxa" w:w="60"/>
              <w:right w:type="dxa" w:w="90"/>
            </w:tcMar>
          </w:tcPr>
          <w:p>
            <w:pPr>
              <w:jc w:val="left"/>
            </w:pPr>
            <w:r>
              <w:rPr>
                <w:b w:val="false"/>
                <w:bCs w:val="false"/>
                <w:sz w:val="17"/>
                <w:szCs w:val="17"/>
              </w:rPr>
              <w:t xml:space="preserve">Uhrzeit und Lieferscheinnummer verbinden Tagebuch, Lieferschein und Rechnungsprüfung.</w:t>
            </w:r>
          </w:p>
        </w:tc>
      </w:tr>
      <w:tr>
        <w:trPr>
          <w:cantSplit/>
        </w:trPr>
        <w:tc>
          <w:tcPr>
            <w:tcW w:type="dxa" w:w="2400"/>
            <w:tcMar>
              <w:top w:type="dxa" w:w="60"/>
              <w:left w:type="dxa" w:w="90"/>
              <w:bottom w:type="dxa" w:w="60"/>
              <w:right w:type="dxa" w:w="90"/>
            </w:tcMar>
          </w:tcPr>
          <w:p>
            <w:pPr>
              <w:jc w:val="left"/>
            </w:pPr>
            <w:r>
              <w:rPr>
                <w:b/>
                <w:bCs/>
                <w:sz w:val="17"/>
                <w:szCs w:val="17"/>
              </w:rPr>
              <w:t xml:space="preserve">Geräte</w:t>
            </w:r>
          </w:p>
        </w:tc>
        <w:tc>
          <w:tcPr>
            <w:tcW w:type="dxa" w:w="7600"/>
            <w:tcMar>
              <w:top w:type="dxa" w:w="60"/>
              <w:left w:type="dxa" w:w="90"/>
              <w:bottom w:type="dxa" w:w="60"/>
              <w:right w:type="dxa" w:w="90"/>
            </w:tcMar>
          </w:tcPr>
          <w:p>
            <w:pPr>
              <w:jc w:val="left"/>
            </w:pPr>
            <w:r>
              <w:rPr>
                <w:b w:val="false"/>
                <w:bCs w:val="false"/>
                <w:sz w:val="17"/>
                <w:szCs w:val="17"/>
              </w:rPr>
              <w:t xml:space="preserve">Turmdrehkran 1 (07:00–16:30), Verdichter 2</w:t>
            </w:r>
          </w:p>
        </w:tc>
        <w:tc>
          <w:tcPr>
            <w:tcW w:type="dxa" w:w="5138"/>
            <w:tcMar>
              <w:top w:type="dxa" w:w="60"/>
              <w:left w:type="dxa" w:w="90"/>
              <w:bottom w:type="dxa" w:w="60"/>
              <w:right w:type="dxa" w:w="90"/>
            </w:tcMar>
          </w:tcPr>
          <w:p>
            <w:pPr>
              <w:jc w:val="left"/>
            </w:pPr>
            <w:r>
              <w:rPr>
                <w:b w:val="false"/>
                <w:bCs w:val="false"/>
                <w:sz w:val="17"/>
                <w:szCs w:val="17"/>
              </w:rPr>
              <w:t xml:space="preserve">Einsatzzeiten belegen später Stillstände und Gerätevorhaltung.</w:t>
            </w:r>
          </w:p>
        </w:tc>
      </w:tr>
      <w:tr>
        <w:trPr>
          <w:cantSplit/>
        </w:trPr>
        <w:tc>
          <w:tcPr>
            <w:tcW w:type="dxa" w:w="2400"/>
            <w:tcMar>
              <w:top w:type="dxa" w:w="60"/>
              <w:left w:type="dxa" w:w="90"/>
              <w:bottom w:type="dxa" w:w="60"/>
              <w:right w:type="dxa" w:w="90"/>
            </w:tcMar>
          </w:tcPr>
          <w:p>
            <w:pPr>
              <w:jc w:val="left"/>
            </w:pPr>
            <w:r>
              <w:rPr>
                <w:b/>
                <w:bCs/>
                <w:sz w:val="17"/>
                <w:szCs w:val="17"/>
              </w:rPr>
              <w:t xml:space="preserve">Bemerkung (intern)</w:t>
            </w:r>
          </w:p>
        </w:tc>
        <w:tc>
          <w:tcPr>
            <w:tcW w:type="dxa" w:w="7600"/>
            <w:tcMar>
              <w:top w:type="dxa" w:w="60"/>
              <w:left w:type="dxa" w:w="90"/>
              <w:bottom w:type="dxa" w:w="60"/>
              <w:right w:type="dxa" w:w="90"/>
            </w:tcMar>
          </w:tcPr>
          <w:p>
            <w:pPr>
              <w:jc w:val="left"/>
            </w:pPr>
            <w:r>
              <w:rPr>
                <w:b w:val="false"/>
                <w:bCs w:val="false"/>
                <w:sz w:val="17"/>
                <w:szCs w:val="17"/>
              </w:rPr>
              <w:t xml:space="preserve">(i) Rückfrage an Tragwerksplanung wegen Durchbruch D-07 (Decke über EG, Achse 3/B) offen seit 18.09.; ohne Antwort keine Betonage Achse 3</w:t>
            </w:r>
          </w:p>
        </w:tc>
        <w:tc>
          <w:tcPr>
            <w:tcW w:type="dxa" w:w="5138"/>
            <w:tcMar>
              <w:top w:type="dxa" w:w="60"/>
              <w:left w:type="dxa" w:w="90"/>
              <w:bottom w:type="dxa" w:w="60"/>
              <w:right w:type="dxa" w:w="90"/>
            </w:tcMar>
          </w:tcPr>
          <w:p>
            <w:pPr>
              <w:jc w:val="left"/>
            </w:pPr>
            <w:r>
              <w:rPr>
                <w:b w:val="false"/>
                <w:bCs w:val="false"/>
                <w:sz w:val="17"/>
                <w:szCs w:val="17"/>
              </w:rPr>
              <w:t xml:space="preserve">Eigene Rückfragen und Risikoeinschätzungen bleiben im internen Bericht — im Auftraggeber-Bericht steht nur die Tatsache, sobald sie Folgen hat.</w:t>
            </w:r>
          </w:p>
        </w:tc>
      </w:tr>
      <w:tr>
        <w:trPr>
          <w:cantSplit/>
        </w:trPr>
        <w:tc>
          <w:tcPr>
            <w:tcW w:type="dxa" w:w="2400"/>
            <w:tcMar>
              <w:top w:type="dxa" w:w="60"/>
              <w:left w:type="dxa" w:w="90"/>
              <w:bottom w:type="dxa" w:w="60"/>
              <w:right w:type="dxa" w:w="90"/>
            </w:tcMar>
          </w:tcPr>
          <w:p>
            <w:pPr>
              <w:jc w:val="left"/>
            </w:pPr>
            <w:r>
              <w:rPr>
                <w:b/>
                <w:bCs/>
                <w:sz w:val="17"/>
                <w:szCs w:val="17"/>
              </w:rPr>
              <w:t xml:space="preserve">Fotos / Freigabe</w:t>
            </w:r>
          </w:p>
        </w:tc>
        <w:tc>
          <w:tcPr>
            <w:tcW w:type="dxa" w:w="7600"/>
            <w:tcMar>
              <w:top w:type="dxa" w:w="60"/>
              <w:left w:type="dxa" w:w="90"/>
              <w:bottom w:type="dxa" w:w="60"/>
              <w:right w:type="dxa" w:w="90"/>
            </w:tcMar>
          </w:tcPr>
          <w:p>
            <w:pPr>
              <w:jc w:val="left"/>
            </w:pPr>
            <w:r>
              <w:rPr>
                <w:b w:val="false"/>
                <w:bCs w:val="false"/>
                <w:sz w:val="17"/>
                <w:szCs w:val="17"/>
              </w:rPr>
              <w:t xml:space="preserve">Fotos 109–121; erstellt 21.09.2026 17:10 Objektüberwachung, freigegeben 21.09.2026 17:40</w:t>
            </w:r>
          </w:p>
        </w:tc>
        <w:tc>
          <w:tcPr>
            <w:tcW w:type="dxa" w:w="5138"/>
            <w:tcMar>
              <w:top w:type="dxa" w:w="60"/>
              <w:left w:type="dxa" w:w="90"/>
              <w:bottom w:type="dxa" w:w="60"/>
              <w:right w:type="dxa" w:w="90"/>
            </w:tcMar>
          </w:tcPr>
          <w:p>
            <w:pPr>
              <w:jc w:val="left"/>
            </w:pPr>
            <w:r>
              <w:rPr>
                <w:b w:val="false"/>
                <w:bCs w:val="false"/>
                <w:sz w:val="17"/>
                <w:szCs w:val="17"/>
              </w:rPr>
              <w:t xml:space="preserve">Erstellzeitpunkt am selben Tag ist der Beleg für die Fortlaufendkeit.</w:t>
            </w:r>
          </w:p>
        </w:tc>
      </w:tr>
    </w:tbl>
    <w:p>
      <w:pPr>
        <w:pStyle w:val="Heading2"/>
        <w:pageBreakBefore/>
      </w:pPr>
      <w:r>
        <w:t xml:space="preserve">Bautag 38 — Dienstag, 22.09.2026: Behinderung durch Witterung</w:t>
      </w:r>
    </w:p>
    <w:p>
      <w:pPr>
        <w:spacing w:after="160"/>
      </w:pPr>
      <w:r>
        <w:rPr>
          <w:color w:val="444444"/>
        </w:rPr>
        <w:t xml:space="preserve">Starkregen unterbricht die Betonage. Der Bericht hält Beginn, Ende, Folgen und die Anzeige fest — ohne selbst zu bewerten, wer die Folgen trägt.</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2400"/>
        <w:gridCol w:w="7600"/>
        <w:gridCol w:w="5138"/>
      </w:tblGrid>
      <w:tr>
        <w:trPr>
          <w:tblHeader/>
        </w:trPr>
        <w:tc>
          <w:tcPr>
            <w:tcW w:type="dxa" w:w="2400"/>
            <w:shd w:fill="F2F2F2" w:color="auto" w:val="clear"/>
            <w:tcMar>
              <w:top w:type="dxa" w:w="60"/>
              <w:left w:type="dxa" w:w="90"/>
              <w:bottom w:type="dxa" w:w="60"/>
              <w:right w:type="dxa" w:w="90"/>
            </w:tcMar>
          </w:tcPr>
          <w:p>
            <w:pPr>
              <w:jc w:val="left"/>
            </w:pPr>
            <w:r>
              <w:rPr>
                <w:b/>
                <w:bCs/>
                <w:sz w:val="15"/>
                <w:szCs w:val="15"/>
              </w:rPr>
              <w:t xml:space="preserve">Abschnitt</w:t>
            </w:r>
          </w:p>
        </w:tc>
        <w:tc>
          <w:tcPr>
            <w:tcW w:type="dxa" w:w="7600"/>
            <w:shd w:fill="F2F2F2" w:color="auto" w:val="clear"/>
            <w:tcMar>
              <w:top w:type="dxa" w:w="60"/>
              <w:left w:type="dxa" w:w="90"/>
              <w:bottom w:type="dxa" w:w="60"/>
              <w:right w:type="dxa" w:w="90"/>
            </w:tcMar>
          </w:tcPr>
          <w:p>
            <w:pPr>
              <w:jc w:val="left"/>
            </w:pPr>
            <w:r>
              <w:rPr>
                <w:b/>
                <w:bCs/>
                <w:sz w:val="15"/>
                <w:szCs w:val="15"/>
              </w:rPr>
              <w:t xml:space="preserve">Eintrag im Bericht</w:t>
            </w:r>
          </w:p>
        </w:tc>
        <w:tc>
          <w:tcPr>
            <w:tcW w:type="dxa" w:w="5138"/>
            <w:shd w:fill="F2F2F2" w:color="auto" w:val="clear"/>
            <w:tcMar>
              <w:top w:type="dxa" w:w="60"/>
              <w:left w:type="dxa" w:w="90"/>
              <w:bottom w:type="dxa" w:w="60"/>
              <w:right w:type="dxa" w:w="90"/>
            </w:tcMar>
          </w:tcPr>
          <w:p>
            <w:pPr>
              <w:jc w:val="left"/>
            </w:pPr>
            <w:r>
              <w:rPr>
                <w:b/>
                <w:bCs/>
                <w:sz w:val="15"/>
                <w:szCs w:val="15"/>
              </w:rPr>
              <w:t xml:space="preserve">Warum das zählt</w:t>
            </w:r>
          </w:p>
        </w:tc>
      </w:tr>
      <w:tr>
        <w:trPr>
          <w:cantSplit/>
        </w:trPr>
        <w:tc>
          <w:tcPr>
            <w:tcW w:type="dxa" w:w="2400"/>
            <w:tcMar>
              <w:top w:type="dxa" w:w="60"/>
              <w:left w:type="dxa" w:w="90"/>
              <w:bottom w:type="dxa" w:w="60"/>
              <w:right w:type="dxa" w:w="90"/>
            </w:tcMar>
          </w:tcPr>
          <w:p>
            <w:pPr>
              <w:jc w:val="left"/>
            </w:pPr>
            <w:r>
              <w:rPr>
                <w:b/>
                <w:bCs/>
                <w:sz w:val="17"/>
                <w:szCs w:val="17"/>
              </w:rPr>
              <w:t xml:space="preserve">Witterung</w:t>
            </w:r>
          </w:p>
        </w:tc>
        <w:tc>
          <w:tcPr>
            <w:tcW w:type="dxa" w:w="7600"/>
            <w:tcMar>
              <w:top w:type="dxa" w:w="60"/>
              <w:left w:type="dxa" w:w="90"/>
              <w:bottom w:type="dxa" w:w="60"/>
              <w:right w:type="dxa" w:w="90"/>
            </w:tcMar>
          </w:tcPr>
          <w:p>
            <w:pPr>
              <w:jc w:val="left"/>
            </w:pPr>
            <w:r>
              <w:rPr>
                <w:b w:val="false"/>
                <w:bCs w:val="false"/>
                <w:sz w:val="17"/>
                <w:szCs w:val="17"/>
              </w:rPr>
              <w:t xml:space="preserve">früh 2 °C, mittags 7 °C; Regen ab 10:50 stark, anhaltend bis 15:30; Wind 6 Bft (Wetterdienst, Station Musterstadt)</w:t>
            </w:r>
          </w:p>
        </w:tc>
        <w:tc>
          <w:tcPr>
            <w:tcW w:type="dxa" w:w="5138"/>
            <w:tcMar>
              <w:top w:type="dxa" w:w="60"/>
              <w:left w:type="dxa" w:w="90"/>
              <w:bottom w:type="dxa" w:w="60"/>
              <w:right w:type="dxa" w:w="90"/>
            </w:tcMar>
          </w:tcPr>
          <w:p>
            <w:pPr>
              <w:jc w:val="left"/>
            </w:pPr>
            <w:r>
              <w:rPr>
                <w:b w:val="false"/>
                <w:bCs w:val="false"/>
                <w:sz w:val="17"/>
                <w:szCs w:val="17"/>
              </w:rPr>
              <w:t xml:space="preserve">Beginn und Intensität sind die Grundlage für die Frage, ob eine außergewöhnliche Witterung vorlag.</w:t>
            </w:r>
          </w:p>
        </w:tc>
      </w:tr>
      <w:tr>
        <w:trPr>
          <w:cantSplit/>
        </w:trPr>
        <w:tc>
          <w:tcPr>
            <w:tcW w:type="dxa" w:w="2400"/>
            <w:tcMar>
              <w:top w:type="dxa" w:w="60"/>
              <w:left w:type="dxa" w:w="90"/>
              <w:bottom w:type="dxa" w:w="60"/>
              <w:right w:type="dxa" w:w="90"/>
            </w:tcMar>
          </w:tcPr>
          <w:p>
            <w:pPr>
              <w:jc w:val="left"/>
            </w:pPr>
            <w:r>
              <w:rPr>
                <w:b/>
                <w:bCs/>
                <w:sz w:val="17"/>
                <w:szCs w:val="17"/>
              </w:rPr>
              <w:t xml:space="preserve">Besetzung</w:t>
            </w:r>
          </w:p>
        </w:tc>
        <w:tc>
          <w:tcPr>
            <w:tcW w:type="dxa" w:w="7600"/>
            <w:tcMar>
              <w:top w:type="dxa" w:w="60"/>
              <w:left w:type="dxa" w:w="90"/>
              <w:bottom w:type="dxa" w:w="60"/>
              <w:right w:type="dxa" w:w="90"/>
            </w:tcMar>
          </w:tcPr>
          <w:p>
            <w:pPr>
              <w:jc w:val="left"/>
            </w:pPr>
            <w:r>
              <w:rPr>
                <w:b w:val="false"/>
                <w:bCs w:val="false"/>
                <w:sz w:val="17"/>
                <w:szCs w:val="17"/>
              </w:rPr>
              <w:t xml:space="preserve">Rohbau A: 8 Personen bis 11:30, danach 3 (Sicherung, Abdeckung); Elektro B: nicht anwesend</w:t>
            </w:r>
          </w:p>
        </w:tc>
        <w:tc>
          <w:tcPr>
            <w:tcW w:type="dxa" w:w="5138"/>
            <w:tcMar>
              <w:top w:type="dxa" w:w="60"/>
              <w:left w:type="dxa" w:w="90"/>
              <w:bottom w:type="dxa" w:w="60"/>
              <w:right w:type="dxa" w:w="90"/>
            </w:tcMar>
          </w:tcPr>
          <w:p>
            <w:pPr>
              <w:jc w:val="left"/>
            </w:pPr>
            <w:r>
              <w:rPr>
                <w:b w:val="false"/>
                <w:bCs w:val="false"/>
                <w:sz w:val="17"/>
                <w:szCs w:val="17"/>
              </w:rPr>
              <w:t xml:space="preserve">Die Reduzierung ab 11:30 beziffert die Behinderungsfolge.</w:t>
            </w:r>
          </w:p>
        </w:tc>
      </w:tr>
      <w:tr>
        <w:trPr>
          <w:cantSplit/>
        </w:trPr>
        <w:tc>
          <w:tcPr>
            <w:tcW w:type="dxa" w:w="2400"/>
            <w:tcMar>
              <w:top w:type="dxa" w:w="60"/>
              <w:left w:type="dxa" w:w="90"/>
              <w:bottom w:type="dxa" w:w="60"/>
              <w:right w:type="dxa" w:w="90"/>
            </w:tcMar>
          </w:tcPr>
          <w:p>
            <w:pPr>
              <w:jc w:val="left"/>
            </w:pPr>
            <w:r>
              <w:rPr>
                <w:b/>
                <w:bCs/>
                <w:sz w:val="17"/>
                <w:szCs w:val="17"/>
              </w:rPr>
              <w:t xml:space="preserve">Behinderung</w:t>
            </w:r>
          </w:p>
        </w:tc>
        <w:tc>
          <w:tcPr>
            <w:tcW w:type="dxa" w:w="7600"/>
            <w:tcMar>
              <w:top w:type="dxa" w:w="60"/>
              <w:left w:type="dxa" w:w="90"/>
              <w:bottom w:type="dxa" w:w="60"/>
              <w:right w:type="dxa" w:w="90"/>
            </w:tcMar>
          </w:tcPr>
          <w:p>
            <w:pPr>
              <w:jc w:val="left"/>
            </w:pPr>
            <w:r>
              <w:rPr>
                <w:b w:val="false"/>
                <w:bCs w:val="false"/>
                <w:sz w:val="17"/>
                <w:szCs w:val="17"/>
              </w:rPr>
              <w:t xml:space="preserve">11:20–Tagesende: Betonage Decke über EG Achse 1–3 nach 1. Fahrzeug abgebrochen wegen Starkregen; 2 Fahrzeuge Transportbeton zurückgewiesen (Lieferscheine 5020-0922, 5021-0922); Wiederaufnahme geplant 23.09. Behinderungsanzeige nach § 6 Abs. 1 VOB/B durch Rohbau A schriftlich um 12:05 eingegangen (Anlage 38-1)</w:t>
            </w:r>
          </w:p>
        </w:tc>
        <w:tc>
          <w:tcPr>
            <w:tcW w:type="dxa" w:w="5138"/>
            <w:tcMar>
              <w:top w:type="dxa" w:w="60"/>
              <w:left w:type="dxa" w:w="90"/>
              <w:bottom w:type="dxa" w:w="60"/>
              <w:right w:type="dxa" w:w="90"/>
            </w:tcMar>
          </w:tcPr>
          <w:p>
            <w:pPr>
              <w:jc w:val="left"/>
            </w:pPr>
            <w:r>
              <w:rPr>
                <w:b w:val="false"/>
                <w:bCs w:val="false"/>
                <w:sz w:val="17"/>
                <w:szCs w:val="17"/>
              </w:rPr>
              <w:t xml:space="preserve">Von–bis, betroffene Leistung, Folgekosten-Spuren (Rückweisungen) und die Anzeige mit Uhrzeit — der Eintrag beziffert die Behinderung, ohne sie zu bewerten.</w:t>
            </w:r>
          </w:p>
        </w:tc>
      </w:tr>
      <w:tr>
        <w:trPr>
          <w:cantSplit/>
        </w:trPr>
        <w:tc>
          <w:tcPr>
            <w:tcW w:type="dxa" w:w="2400"/>
            <w:tcMar>
              <w:top w:type="dxa" w:w="60"/>
              <w:left w:type="dxa" w:w="90"/>
              <w:bottom w:type="dxa" w:w="60"/>
              <w:right w:type="dxa" w:w="90"/>
            </w:tcMar>
          </w:tcPr>
          <w:p>
            <w:pPr>
              <w:jc w:val="left"/>
            </w:pPr>
            <w:r>
              <w:rPr>
                <w:b/>
                <w:bCs/>
                <w:sz w:val="17"/>
                <w:szCs w:val="17"/>
              </w:rPr>
              <w:t xml:space="preserve">Tagesleistungen</w:t>
            </w:r>
          </w:p>
        </w:tc>
        <w:tc>
          <w:tcPr>
            <w:tcW w:type="dxa" w:w="7600"/>
            <w:tcMar>
              <w:top w:type="dxa" w:w="60"/>
              <w:left w:type="dxa" w:w="90"/>
              <w:bottom w:type="dxa" w:w="60"/>
              <w:right w:type="dxa" w:w="90"/>
            </w:tcMar>
          </w:tcPr>
          <w:p>
            <w:pPr>
              <w:jc w:val="left"/>
            </w:pPr>
            <w:r>
              <w:rPr>
                <w:b w:val="false"/>
                <w:bCs w:val="false"/>
                <w:sz w:val="17"/>
                <w:szCs w:val="17"/>
              </w:rPr>
              <w:t xml:space="preserve">Rohbau A: Deckenschalung Achse 5–8 weiter (bis 10:50), Abdeckung der Bewehrung Achse 1–3 mit Folie</w:t>
            </w:r>
          </w:p>
        </w:tc>
        <w:tc>
          <w:tcPr>
            <w:tcW w:type="dxa" w:w="5138"/>
            <w:tcMar>
              <w:top w:type="dxa" w:w="60"/>
              <w:left w:type="dxa" w:w="90"/>
              <w:bottom w:type="dxa" w:w="60"/>
              <w:right w:type="dxa" w:w="90"/>
            </w:tcMar>
          </w:tcPr>
          <w:p>
            <w:pPr>
              <w:jc w:val="left"/>
            </w:pPr>
            <w:r>
              <w:rPr>
                <w:b w:val="false"/>
                <w:bCs w:val="false"/>
                <w:sz w:val="17"/>
                <w:szCs w:val="17"/>
              </w:rPr>
              <w:t xml:space="preserve">Was trotz Behinderung geleistet wurde, gehört genauso hinein.</w:t>
            </w:r>
          </w:p>
        </w:tc>
      </w:tr>
      <w:tr>
        <w:trPr>
          <w:cantSplit/>
        </w:trPr>
        <w:tc>
          <w:tcPr>
            <w:tcW w:type="dxa" w:w="2400"/>
            <w:tcMar>
              <w:top w:type="dxa" w:w="60"/>
              <w:left w:type="dxa" w:w="90"/>
              <w:bottom w:type="dxa" w:w="60"/>
              <w:right w:type="dxa" w:w="90"/>
            </w:tcMar>
          </w:tcPr>
          <w:p>
            <w:pPr>
              <w:jc w:val="left"/>
            </w:pPr>
            <w:r>
              <w:rPr>
                <w:b/>
                <w:bCs/>
                <w:sz w:val="17"/>
                <w:szCs w:val="17"/>
              </w:rPr>
              <w:t xml:space="preserve">Lieferungen</w:t>
            </w:r>
          </w:p>
        </w:tc>
        <w:tc>
          <w:tcPr>
            <w:tcW w:type="dxa" w:w="7600"/>
            <w:tcMar>
              <w:top w:type="dxa" w:w="60"/>
              <w:left w:type="dxa" w:w="90"/>
              <w:bottom w:type="dxa" w:w="60"/>
              <w:right w:type="dxa" w:w="90"/>
            </w:tcMar>
          </w:tcPr>
          <w:p>
            <w:pPr>
              <w:jc w:val="left"/>
            </w:pPr>
            <w:r>
              <w:rPr>
                <w:b w:val="false"/>
                <w:bCs w:val="false"/>
                <w:sz w:val="17"/>
                <w:szCs w:val="17"/>
              </w:rPr>
              <w:t xml:space="preserve">10:35 Transportbeton C30/37, 8 m³, Lieferschein 5019-0922, eingebaut; 11:05 und 11:30 je 8 m³, Lieferscheine 5020/5021-0922, zurückgewiesen (Regen)</w:t>
            </w:r>
          </w:p>
        </w:tc>
        <w:tc>
          <w:tcPr>
            <w:tcW w:type="dxa" w:w="5138"/>
            <w:tcMar>
              <w:top w:type="dxa" w:w="60"/>
              <w:left w:type="dxa" w:w="90"/>
              <w:bottom w:type="dxa" w:w="60"/>
              <w:right w:type="dxa" w:w="90"/>
            </w:tcMar>
          </w:tcPr>
          <w:p>
            <w:pPr>
              <w:jc w:val="left"/>
            </w:pPr>
            <w:r>
              <w:rPr>
                <w:b w:val="false"/>
                <w:bCs w:val="false"/>
                <w:sz w:val="17"/>
                <w:szCs w:val="17"/>
              </w:rPr>
              <w:t xml:space="preserve">Zurückgewiesene Lieferungen mit Nummer: Später wird über genau diese Rechnungen gestritten.</w:t>
            </w:r>
          </w:p>
        </w:tc>
      </w:tr>
      <w:tr>
        <w:trPr>
          <w:cantSplit/>
        </w:trPr>
        <w:tc>
          <w:tcPr>
            <w:tcW w:type="dxa" w:w="2400"/>
            <w:tcMar>
              <w:top w:type="dxa" w:w="60"/>
              <w:left w:type="dxa" w:w="90"/>
              <w:bottom w:type="dxa" w:w="60"/>
              <w:right w:type="dxa" w:w="90"/>
            </w:tcMar>
          </w:tcPr>
          <w:p>
            <w:pPr>
              <w:jc w:val="left"/>
            </w:pPr>
            <w:r>
              <w:rPr>
                <w:b/>
                <w:bCs/>
                <w:sz w:val="17"/>
                <w:szCs w:val="17"/>
              </w:rPr>
              <w:t xml:space="preserve">Anordnung</w:t>
            </w:r>
          </w:p>
        </w:tc>
        <w:tc>
          <w:tcPr>
            <w:tcW w:type="dxa" w:w="7600"/>
            <w:tcMar>
              <w:top w:type="dxa" w:w="60"/>
              <w:left w:type="dxa" w:w="90"/>
              <w:bottom w:type="dxa" w:w="60"/>
              <w:right w:type="dxa" w:w="90"/>
            </w:tcMar>
          </w:tcPr>
          <w:p>
            <w:pPr>
              <w:jc w:val="left"/>
            </w:pPr>
            <w:r>
              <w:rPr>
                <w:b w:val="false"/>
                <w:bCs w:val="false"/>
                <w:sz w:val="17"/>
                <w:szCs w:val="17"/>
              </w:rPr>
              <w:t xml:space="preserve">Nr. 06 an Rohbau A, 11:25: Frischbeton Achse 1 gegen Regen abdecken, Nachbehandlung sicherstellen; Frist sofort; Foto 124</w:t>
            </w:r>
          </w:p>
        </w:tc>
        <w:tc>
          <w:tcPr>
            <w:tcW w:type="dxa" w:w="5138"/>
            <w:tcMar>
              <w:top w:type="dxa" w:w="60"/>
              <w:left w:type="dxa" w:w="90"/>
              <w:bottom w:type="dxa" w:w="60"/>
              <w:right w:type="dxa" w:w="90"/>
            </w:tcMar>
          </w:tcPr>
          <w:p>
            <w:pPr>
              <w:jc w:val="left"/>
            </w:pPr>
            <w:r>
              <w:rPr>
                <w:b w:val="false"/>
                <w:bCs w:val="false"/>
                <w:sz w:val="17"/>
                <w:szCs w:val="17"/>
              </w:rPr>
              <w:t xml:space="preserve">Adressat, Uhrzeit, Inhalt, Frist, Foto — eine mündliche Anordnung wird so zur belegten Weisung.</w:t>
            </w:r>
          </w:p>
        </w:tc>
      </w:tr>
      <w:tr>
        <w:trPr>
          <w:cantSplit/>
        </w:trPr>
        <w:tc>
          <w:tcPr>
            <w:tcW w:type="dxa" w:w="2400"/>
            <w:tcMar>
              <w:top w:type="dxa" w:w="60"/>
              <w:left w:type="dxa" w:w="90"/>
              <w:bottom w:type="dxa" w:w="60"/>
              <w:right w:type="dxa" w:w="90"/>
            </w:tcMar>
          </w:tcPr>
          <w:p>
            <w:pPr>
              <w:jc w:val="left"/>
            </w:pPr>
            <w:r>
              <w:rPr>
                <w:b/>
                <w:bCs/>
                <w:sz w:val="17"/>
                <w:szCs w:val="17"/>
              </w:rPr>
              <w:t xml:space="preserve">Bemerkung (extern)</w:t>
            </w:r>
          </w:p>
        </w:tc>
        <w:tc>
          <w:tcPr>
            <w:tcW w:type="dxa" w:w="7600"/>
            <w:tcMar>
              <w:top w:type="dxa" w:w="60"/>
              <w:left w:type="dxa" w:w="90"/>
              <w:bottom w:type="dxa" w:w="60"/>
              <w:right w:type="dxa" w:w="90"/>
            </w:tcMar>
          </w:tcPr>
          <w:p>
            <w:pPr>
              <w:jc w:val="left"/>
            </w:pPr>
            <w:r>
              <w:rPr>
                <w:b w:val="false"/>
                <w:bCs w:val="false"/>
                <w:sz w:val="17"/>
                <w:szCs w:val="17"/>
              </w:rPr>
              <w:t xml:space="preserve">Bauzeitenplan wird nach Wiederaufnahme der Betonage fortgeschrieben (Stand 23.09.)</w:t>
            </w:r>
          </w:p>
        </w:tc>
        <w:tc>
          <w:tcPr>
            <w:tcW w:type="dxa" w:w="5138"/>
            <w:tcMar>
              <w:top w:type="dxa" w:w="60"/>
              <w:left w:type="dxa" w:w="90"/>
              <w:bottom w:type="dxa" w:w="60"/>
              <w:right w:type="dxa" w:w="90"/>
            </w:tcMar>
          </w:tcPr>
          <w:p>
            <w:pPr>
              <w:jc w:val="left"/>
            </w:pPr>
            <w:r>
              <w:rPr>
                <w:b w:val="false"/>
                <w:bCs w:val="false"/>
                <w:sz w:val="17"/>
                <w:szCs w:val="17"/>
              </w:rPr>
              <w:t xml:space="preserve">Die externe Fassung nennt die Tatsache; die Kostenfolge steht im internen Teil.</w:t>
            </w:r>
          </w:p>
        </w:tc>
      </w:tr>
      <w:tr>
        <w:trPr>
          <w:cantSplit/>
        </w:trPr>
        <w:tc>
          <w:tcPr>
            <w:tcW w:type="dxa" w:w="2400"/>
            <w:tcMar>
              <w:top w:type="dxa" w:w="60"/>
              <w:left w:type="dxa" w:w="90"/>
              <w:bottom w:type="dxa" w:w="60"/>
              <w:right w:type="dxa" w:w="90"/>
            </w:tcMar>
          </w:tcPr>
          <w:p>
            <w:pPr>
              <w:jc w:val="left"/>
            </w:pPr>
            <w:r>
              <w:rPr>
                <w:b/>
                <w:bCs/>
                <w:sz w:val="17"/>
                <w:szCs w:val="17"/>
              </w:rPr>
              <w:t xml:space="preserve">Bemerkung (intern)</w:t>
            </w:r>
          </w:p>
        </w:tc>
        <w:tc>
          <w:tcPr>
            <w:tcW w:type="dxa" w:w="7600"/>
            <w:tcMar>
              <w:top w:type="dxa" w:w="60"/>
              <w:left w:type="dxa" w:w="90"/>
              <w:bottom w:type="dxa" w:w="60"/>
              <w:right w:type="dxa" w:w="90"/>
            </w:tcMar>
          </w:tcPr>
          <w:p>
            <w:pPr>
              <w:jc w:val="left"/>
            </w:pPr>
            <w:r>
              <w:rPr>
                <w:b w:val="false"/>
                <w:bCs w:val="false"/>
                <w:sz w:val="17"/>
                <w:szCs w:val="17"/>
              </w:rPr>
              <w:t xml:space="preserve">(i) Kostenfolge der Rückweisungen klären: Bestellung durch Rohbau A trotz Regenprognose — Verantwortung offen</w:t>
            </w:r>
          </w:p>
        </w:tc>
        <w:tc>
          <w:tcPr>
            <w:tcW w:type="dxa" w:w="5138"/>
            <w:tcMar>
              <w:top w:type="dxa" w:w="60"/>
              <w:left w:type="dxa" w:w="90"/>
              <w:bottom w:type="dxa" w:w="60"/>
              <w:right w:type="dxa" w:w="90"/>
            </w:tcMar>
          </w:tcPr>
          <w:p>
            <w:pPr>
              <w:jc w:val="left"/>
            </w:pPr>
            <w:r>
              <w:rPr>
                <w:b w:val="false"/>
                <w:bCs w:val="false"/>
                <w:sz w:val="17"/>
                <w:szCs w:val="17"/>
              </w:rPr>
              <w:t xml:space="preserve">Die Bewertung bleibt intern, bis sie geklärt ist; im Tagebuch steht sie datiert, nicht rückdatiert.</w:t>
            </w:r>
          </w:p>
        </w:tc>
      </w:tr>
    </w:tbl>
    <w:p>
      <w:pPr>
        <w:pStyle w:val="Heading2"/>
        <w:pageBreakBefore/>
      </w:pPr>
      <w:r>
        <w:t xml:space="preserve">Bautag 39 — Mittwoch, 23.09.2026: Anordnung und Beinaheunfall</w:t>
      </w:r>
    </w:p>
    <w:p>
      <w:pPr>
        <w:spacing w:after="160"/>
      </w:pPr>
      <w:r>
        <w:rPr>
          <w:color w:val="444444"/>
        </w:rPr>
        <w:t xml:space="preserve">Betonage nachgeholt, ein Durchbruch auf Anordnung geändert, eine fehlende Absturzsicherung entdeckt. Drei Einträge, die jeder für sich eine Akte begründen.</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2400"/>
        <w:gridCol w:w="7600"/>
        <w:gridCol w:w="5138"/>
      </w:tblGrid>
      <w:tr>
        <w:trPr>
          <w:tblHeader/>
        </w:trPr>
        <w:tc>
          <w:tcPr>
            <w:tcW w:type="dxa" w:w="2400"/>
            <w:shd w:fill="F2F2F2" w:color="auto" w:val="clear"/>
            <w:tcMar>
              <w:top w:type="dxa" w:w="60"/>
              <w:left w:type="dxa" w:w="90"/>
              <w:bottom w:type="dxa" w:w="60"/>
              <w:right w:type="dxa" w:w="90"/>
            </w:tcMar>
          </w:tcPr>
          <w:p>
            <w:pPr>
              <w:jc w:val="left"/>
            </w:pPr>
            <w:r>
              <w:rPr>
                <w:b/>
                <w:bCs/>
                <w:sz w:val="15"/>
                <w:szCs w:val="15"/>
              </w:rPr>
              <w:t xml:space="preserve">Abschnitt</w:t>
            </w:r>
          </w:p>
        </w:tc>
        <w:tc>
          <w:tcPr>
            <w:tcW w:type="dxa" w:w="7600"/>
            <w:shd w:fill="F2F2F2" w:color="auto" w:val="clear"/>
            <w:tcMar>
              <w:top w:type="dxa" w:w="60"/>
              <w:left w:type="dxa" w:w="90"/>
              <w:bottom w:type="dxa" w:w="60"/>
              <w:right w:type="dxa" w:w="90"/>
            </w:tcMar>
          </w:tcPr>
          <w:p>
            <w:pPr>
              <w:jc w:val="left"/>
            </w:pPr>
            <w:r>
              <w:rPr>
                <w:b/>
                <w:bCs/>
                <w:sz w:val="15"/>
                <w:szCs w:val="15"/>
              </w:rPr>
              <w:t xml:space="preserve">Eintrag im Bericht</w:t>
            </w:r>
          </w:p>
        </w:tc>
        <w:tc>
          <w:tcPr>
            <w:tcW w:type="dxa" w:w="5138"/>
            <w:shd w:fill="F2F2F2" w:color="auto" w:val="clear"/>
            <w:tcMar>
              <w:top w:type="dxa" w:w="60"/>
              <w:left w:type="dxa" w:w="90"/>
              <w:bottom w:type="dxa" w:w="60"/>
              <w:right w:type="dxa" w:w="90"/>
            </w:tcMar>
          </w:tcPr>
          <w:p>
            <w:pPr>
              <w:jc w:val="left"/>
            </w:pPr>
            <w:r>
              <w:rPr>
                <w:b/>
                <w:bCs/>
                <w:sz w:val="15"/>
                <w:szCs w:val="15"/>
              </w:rPr>
              <w:t xml:space="preserve">Warum das zählt</w:t>
            </w:r>
          </w:p>
        </w:tc>
      </w:tr>
      <w:tr>
        <w:trPr>
          <w:cantSplit/>
        </w:trPr>
        <w:tc>
          <w:tcPr>
            <w:tcW w:type="dxa" w:w="2400"/>
            <w:tcMar>
              <w:top w:type="dxa" w:w="60"/>
              <w:left w:type="dxa" w:w="90"/>
              <w:bottom w:type="dxa" w:w="60"/>
              <w:right w:type="dxa" w:w="90"/>
            </w:tcMar>
          </w:tcPr>
          <w:p>
            <w:pPr>
              <w:jc w:val="left"/>
            </w:pPr>
            <w:r>
              <w:rPr>
                <w:b/>
                <w:bCs/>
                <w:sz w:val="17"/>
                <w:szCs w:val="17"/>
              </w:rPr>
              <w:t xml:space="preserve">Witterung</w:t>
            </w:r>
          </w:p>
        </w:tc>
        <w:tc>
          <w:tcPr>
            <w:tcW w:type="dxa" w:w="7600"/>
            <w:tcMar>
              <w:top w:type="dxa" w:w="60"/>
              <w:left w:type="dxa" w:w="90"/>
              <w:bottom w:type="dxa" w:w="60"/>
              <w:right w:type="dxa" w:w="90"/>
            </w:tcMar>
          </w:tcPr>
          <w:p>
            <w:pPr>
              <w:jc w:val="left"/>
            </w:pPr>
            <w:r>
              <w:rPr>
                <w:b w:val="false"/>
                <w:bCs w:val="false"/>
                <w:sz w:val="17"/>
                <w:szCs w:val="17"/>
              </w:rPr>
              <w:t xml:space="preserve">früh 5 °C, mittags 12 °C, trocken, Wind schwach (Wetterdienst, Station Musterstadt)</w:t>
            </w:r>
          </w:p>
        </w:tc>
        <w:tc>
          <w:tcPr>
            <w:tcW w:type="dxa" w:w="5138"/>
            <w:tcMar>
              <w:top w:type="dxa" w:w="60"/>
              <w:left w:type="dxa" w:w="90"/>
              <w:bottom w:type="dxa" w:w="60"/>
              <w:right w:type="dxa" w:w="90"/>
            </w:tcMar>
          </w:tcPr>
          <w:p>
            <w:pPr>
              <w:jc w:val="left"/>
            </w:pPr>
            <w:r>
              <w:rPr>
                <w:b w:val="false"/>
                <w:bCs w:val="false"/>
                <w:sz w:val="17"/>
                <w:szCs w:val="17"/>
              </w:rPr>
              <w:t xml:space="preserve">Belegt, dass die Betonage am 23.09. ohne Witterungsrisiko möglich war.</w:t>
            </w:r>
          </w:p>
        </w:tc>
      </w:tr>
      <w:tr>
        <w:trPr>
          <w:cantSplit/>
        </w:trPr>
        <w:tc>
          <w:tcPr>
            <w:tcW w:type="dxa" w:w="2400"/>
            <w:tcMar>
              <w:top w:type="dxa" w:w="60"/>
              <w:left w:type="dxa" w:w="90"/>
              <w:bottom w:type="dxa" w:w="60"/>
              <w:right w:type="dxa" w:w="90"/>
            </w:tcMar>
          </w:tcPr>
          <w:p>
            <w:pPr>
              <w:jc w:val="left"/>
            </w:pPr>
            <w:r>
              <w:rPr>
                <w:b/>
                <w:bCs/>
                <w:sz w:val="17"/>
                <w:szCs w:val="17"/>
              </w:rPr>
              <w:t xml:space="preserve">Begehung</w:t>
            </w:r>
          </w:p>
        </w:tc>
        <w:tc>
          <w:tcPr>
            <w:tcW w:type="dxa" w:w="7600"/>
            <w:tcMar>
              <w:top w:type="dxa" w:w="60"/>
              <w:left w:type="dxa" w:w="90"/>
              <w:bottom w:type="dxa" w:w="60"/>
              <w:right w:type="dxa" w:w="90"/>
            </w:tcMar>
          </w:tcPr>
          <w:p>
            <w:pPr>
              <w:jc w:val="left"/>
            </w:pPr>
            <w:r>
              <w:rPr>
                <w:b w:val="false"/>
                <w:bCs w:val="false"/>
                <w:sz w:val="17"/>
                <w:szCs w:val="17"/>
              </w:rPr>
              <w:t xml:space="preserve">08:00 Begehung mit Vertretung des Auftraggebers (Amt für Gebäudemanagement) und Polier Rohbau A: Bewehrung Achse 1–3 nach Regen geprüft, Folie entfernt, freigegeben; Fotos 126–129</w:t>
            </w:r>
          </w:p>
        </w:tc>
        <w:tc>
          <w:tcPr>
            <w:tcW w:type="dxa" w:w="5138"/>
            <w:tcMar>
              <w:top w:type="dxa" w:w="60"/>
              <w:left w:type="dxa" w:w="90"/>
              <w:bottom w:type="dxa" w:w="60"/>
              <w:right w:type="dxa" w:w="90"/>
            </w:tcMar>
          </w:tcPr>
          <w:p>
            <w:pPr>
              <w:jc w:val="left"/>
            </w:pPr>
            <w:r>
              <w:rPr>
                <w:b w:val="false"/>
                <w:bCs w:val="false"/>
                <w:sz w:val="17"/>
                <w:szCs w:val="17"/>
              </w:rPr>
              <w:t xml:space="preserve">Erneute Freigabe nach der Unterbrechung — ohne sie hätte die Betonage keinen dokumentierten Ausgangszustand.</w:t>
            </w:r>
          </w:p>
        </w:tc>
      </w:tr>
      <w:tr>
        <w:trPr>
          <w:cantSplit/>
        </w:trPr>
        <w:tc>
          <w:tcPr>
            <w:tcW w:type="dxa" w:w="2400"/>
            <w:tcMar>
              <w:top w:type="dxa" w:w="60"/>
              <w:left w:type="dxa" w:w="90"/>
              <w:bottom w:type="dxa" w:w="60"/>
              <w:right w:type="dxa" w:w="90"/>
            </w:tcMar>
          </w:tcPr>
          <w:p>
            <w:pPr>
              <w:jc w:val="left"/>
            </w:pPr>
            <w:r>
              <w:rPr>
                <w:b/>
                <w:bCs/>
                <w:sz w:val="17"/>
                <w:szCs w:val="17"/>
              </w:rPr>
              <w:t xml:space="preserve">Anordnung</w:t>
            </w:r>
          </w:p>
        </w:tc>
        <w:tc>
          <w:tcPr>
            <w:tcW w:type="dxa" w:w="7600"/>
            <w:tcMar>
              <w:top w:type="dxa" w:w="60"/>
              <w:left w:type="dxa" w:w="90"/>
              <w:bottom w:type="dxa" w:w="60"/>
              <w:right w:type="dxa" w:w="90"/>
            </w:tcMar>
          </w:tcPr>
          <w:p>
            <w:pPr>
              <w:jc w:val="left"/>
            </w:pPr>
            <w:r>
              <w:rPr>
                <w:b w:val="false"/>
                <w:bCs w:val="false"/>
                <w:sz w:val="17"/>
                <w:szCs w:val="17"/>
              </w:rPr>
              <w:t xml:space="preserve">Nr. 07 an Rohbau A, 08:20: Aussparung D-07 (Decke über EG, Achse 3/B) vor Betonage nach Plan S-203 Index c herstellen (Antwort Tragwerksplanung vom 22.09. liegt vor, Anlage 39-1); Frist vor Betonbeginn; Foto 130</w:t>
            </w:r>
          </w:p>
        </w:tc>
        <w:tc>
          <w:tcPr>
            <w:tcW w:type="dxa" w:w="5138"/>
            <w:tcMar>
              <w:top w:type="dxa" w:w="60"/>
              <w:left w:type="dxa" w:w="90"/>
              <w:bottom w:type="dxa" w:w="60"/>
              <w:right w:type="dxa" w:w="90"/>
            </w:tcMar>
          </w:tcPr>
          <w:p>
            <w:pPr>
              <w:jc w:val="left"/>
            </w:pPr>
            <w:r>
              <w:rPr>
                <w:b w:val="false"/>
                <w:bCs w:val="false"/>
                <w:sz w:val="17"/>
                <w:szCs w:val="17"/>
              </w:rPr>
              <w:t xml:space="preserve">Planstand mit Index und die Anlage machen die Anordnung eindeutig — ein späterer Nachtrag lässt sich daran messen.</w:t>
            </w:r>
          </w:p>
        </w:tc>
      </w:tr>
      <w:tr>
        <w:trPr>
          <w:cantSplit/>
        </w:trPr>
        <w:tc>
          <w:tcPr>
            <w:tcW w:type="dxa" w:w="2400"/>
            <w:tcMar>
              <w:top w:type="dxa" w:w="60"/>
              <w:left w:type="dxa" w:w="90"/>
              <w:bottom w:type="dxa" w:w="60"/>
              <w:right w:type="dxa" w:w="90"/>
            </w:tcMar>
          </w:tcPr>
          <w:p>
            <w:pPr>
              <w:jc w:val="left"/>
            </w:pPr>
            <w:r>
              <w:rPr>
                <w:b/>
                <w:bCs/>
                <w:sz w:val="17"/>
                <w:szCs w:val="17"/>
              </w:rPr>
              <w:t xml:space="preserve">Tagesleistungen</w:t>
            </w:r>
          </w:p>
        </w:tc>
        <w:tc>
          <w:tcPr>
            <w:tcW w:type="dxa" w:w="7600"/>
            <w:tcMar>
              <w:top w:type="dxa" w:w="60"/>
              <w:left w:type="dxa" w:w="90"/>
              <w:bottom w:type="dxa" w:w="60"/>
              <w:right w:type="dxa" w:w="90"/>
            </w:tcMar>
          </w:tcPr>
          <w:p>
            <w:pPr>
              <w:jc w:val="left"/>
            </w:pPr>
            <w:r>
              <w:rPr>
                <w:b w:val="false"/>
                <w:bCs w:val="false"/>
                <w:sz w:val="17"/>
                <w:szCs w:val="17"/>
              </w:rPr>
              <w:t xml:space="preserve">Rohbau A: Betonage Decke über EG Achse 1–3, 48 m³ C30/37, 09:30–13:10; Würfelproben Nr. 12–14 entnommen; Deckenschalung Achse 5–8 fertig</w:t>
            </w:r>
          </w:p>
        </w:tc>
        <w:tc>
          <w:tcPr>
            <w:tcW w:type="dxa" w:w="5138"/>
            <w:tcMar>
              <w:top w:type="dxa" w:w="60"/>
              <w:left w:type="dxa" w:w="90"/>
              <w:bottom w:type="dxa" w:w="60"/>
              <w:right w:type="dxa" w:w="90"/>
            </w:tcMar>
          </w:tcPr>
          <w:p>
            <w:pPr>
              <w:jc w:val="left"/>
            </w:pPr>
            <w:r>
              <w:rPr>
                <w:b w:val="false"/>
                <w:bCs w:val="false"/>
                <w:sz w:val="17"/>
                <w:szCs w:val="17"/>
              </w:rPr>
              <w:t xml:space="preserve">Menge, Zeitraum und Probennummern: Bei späteren Betonfragen ist das die einzige Zuordnung von Probe zu Bauteil.</w:t>
            </w:r>
          </w:p>
        </w:tc>
      </w:tr>
      <w:tr>
        <w:trPr>
          <w:cantSplit/>
        </w:trPr>
        <w:tc>
          <w:tcPr>
            <w:tcW w:type="dxa" w:w="2400"/>
            <w:tcMar>
              <w:top w:type="dxa" w:w="60"/>
              <w:left w:type="dxa" w:w="90"/>
              <w:bottom w:type="dxa" w:w="60"/>
              <w:right w:type="dxa" w:w="90"/>
            </w:tcMar>
          </w:tcPr>
          <w:p>
            <w:pPr>
              <w:jc w:val="left"/>
            </w:pPr>
            <w:r>
              <w:rPr>
                <w:b/>
                <w:bCs/>
                <w:sz w:val="17"/>
                <w:szCs w:val="17"/>
              </w:rPr>
              <w:t xml:space="preserve">Vorkommnis</w:t>
            </w:r>
          </w:p>
        </w:tc>
        <w:tc>
          <w:tcPr>
            <w:tcW w:type="dxa" w:w="7600"/>
            <w:tcMar>
              <w:top w:type="dxa" w:w="60"/>
              <w:left w:type="dxa" w:w="90"/>
              <w:bottom w:type="dxa" w:w="60"/>
              <w:right w:type="dxa" w:w="90"/>
            </w:tcMar>
          </w:tcPr>
          <w:p>
            <w:pPr>
              <w:jc w:val="left"/>
            </w:pPr>
            <w:r>
              <w:rPr>
                <w:b w:val="false"/>
                <w:bCs w:val="false"/>
                <w:sz w:val="17"/>
                <w:szCs w:val="17"/>
              </w:rPr>
              <w:t xml:space="preserve">10:40 Beinaheunfall: Absturzsicherung am Treppenauge 1. OG fehlte, Facharbeiter Rohbau A abgerutscht, nicht verletzt; Sofortmaßnahme Geländer ergänzt 10:55, Foto 131; Meldung an SiGeKo 11:10</w:t>
            </w:r>
          </w:p>
        </w:tc>
        <w:tc>
          <w:tcPr>
            <w:tcW w:type="dxa" w:w="5138"/>
            <w:tcMar>
              <w:top w:type="dxa" w:w="60"/>
              <w:left w:type="dxa" w:w="90"/>
              <w:bottom w:type="dxa" w:w="60"/>
              <w:right w:type="dxa" w:w="90"/>
            </w:tcMar>
          </w:tcPr>
          <w:p>
            <w:pPr>
              <w:jc w:val="left"/>
            </w:pPr>
            <w:r>
              <w:rPr>
                <w:b w:val="false"/>
                <w:bCs w:val="false"/>
                <w:sz w:val="17"/>
                <w:szCs w:val="17"/>
              </w:rPr>
              <w:t xml:space="preserve">Uhrzeit, Hergang ohne Namen, Sofortmaßnahme, Meldung — vollständig und ohne Schuldzuweisung.</w:t>
            </w:r>
          </w:p>
        </w:tc>
      </w:tr>
      <w:tr>
        <w:trPr>
          <w:cantSplit/>
        </w:trPr>
        <w:tc>
          <w:tcPr>
            <w:tcW w:type="dxa" w:w="2400"/>
            <w:tcMar>
              <w:top w:type="dxa" w:w="60"/>
              <w:left w:type="dxa" w:w="90"/>
              <w:bottom w:type="dxa" w:w="60"/>
              <w:right w:type="dxa" w:w="90"/>
            </w:tcMar>
          </w:tcPr>
          <w:p>
            <w:pPr>
              <w:jc w:val="left"/>
            </w:pPr>
            <w:r>
              <w:rPr>
                <w:b/>
                <w:bCs/>
                <w:sz w:val="17"/>
                <w:szCs w:val="17"/>
              </w:rPr>
              <w:t xml:space="preserve">Lieferungen</w:t>
            </w:r>
          </w:p>
        </w:tc>
        <w:tc>
          <w:tcPr>
            <w:tcW w:type="dxa" w:w="7600"/>
            <w:tcMar>
              <w:top w:type="dxa" w:w="60"/>
              <w:left w:type="dxa" w:w="90"/>
              <w:bottom w:type="dxa" w:w="60"/>
              <w:right w:type="dxa" w:w="90"/>
            </w:tcMar>
          </w:tcPr>
          <w:p>
            <w:pPr>
              <w:jc w:val="left"/>
            </w:pPr>
            <w:r>
              <w:rPr>
                <w:b w:val="false"/>
                <w:bCs w:val="false"/>
                <w:sz w:val="17"/>
                <w:szCs w:val="17"/>
              </w:rPr>
              <w:t xml:space="preserve">09:20–12:40 Transportbeton 6 Fahrzeuge je 8 m³, Lieferscheine 5031–5036-0923, alle eingebaut</w:t>
            </w:r>
          </w:p>
        </w:tc>
        <w:tc>
          <w:tcPr>
            <w:tcW w:type="dxa" w:w="5138"/>
            <w:tcMar>
              <w:top w:type="dxa" w:w="60"/>
              <w:left w:type="dxa" w:w="90"/>
              <w:bottom w:type="dxa" w:w="60"/>
              <w:right w:type="dxa" w:w="90"/>
            </w:tcMar>
          </w:tcPr>
          <w:p>
            <w:pPr>
              <w:jc w:val="left"/>
            </w:pPr>
            <w:r>
              <w:rPr>
                <w:b w:val="false"/>
                <w:bCs w:val="false"/>
                <w:sz w:val="17"/>
                <w:szCs w:val="17"/>
              </w:rPr>
              <w:t xml:space="preserve">Fahrzeugfolge und Nummern bestätigen die eingebaute Menge.</w:t>
            </w:r>
          </w:p>
        </w:tc>
      </w:tr>
      <w:tr>
        <w:trPr>
          <w:cantSplit/>
        </w:trPr>
        <w:tc>
          <w:tcPr>
            <w:tcW w:type="dxa" w:w="2400"/>
            <w:tcMar>
              <w:top w:type="dxa" w:w="60"/>
              <w:left w:type="dxa" w:w="90"/>
              <w:bottom w:type="dxa" w:w="60"/>
              <w:right w:type="dxa" w:w="90"/>
            </w:tcMar>
          </w:tcPr>
          <w:p>
            <w:pPr>
              <w:jc w:val="left"/>
            </w:pPr>
            <w:r>
              <w:rPr>
                <w:b/>
                <w:bCs/>
                <w:sz w:val="17"/>
                <w:szCs w:val="17"/>
              </w:rPr>
              <w:t xml:space="preserve">Bemerkung (intern)</w:t>
            </w:r>
          </w:p>
        </w:tc>
        <w:tc>
          <w:tcPr>
            <w:tcW w:type="dxa" w:w="7600"/>
            <w:tcMar>
              <w:top w:type="dxa" w:w="60"/>
              <w:left w:type="dxa" w:w="90"/>
              <w:bottom w:type="dxa" w:w="60"/>
              <w:right w:type="dxa" w:w="90"/>
            </w:tcMar>
          </w:tcPr>
          <w:p>
            <w:pPr>
              <w:jc w:val="left"/>
            </w:pPr>
            <w:r>
              <w:rPr>
                <w:b w:val="false"/>
                <w:bCs w:val="false"/>
                <w:sz w:val="17"/>
                <w:szCs w:val="17"/>
              </w:rPr>
              <w:t xml:space="preserve">(i) Absturzsicherung: Rohbau A auf Pflicht zur Sicherung nach Baustellenverordnung hingewiesen; Kontrolle täglich bis Ende Rohbau</w:t>
            </w:r>
          </w:p>
        </w:tc>
        <w:tc>
          <w:tcPr>
            <w:tcW w:type="dxa" w:w="5138"/>
            <w:tcMar>
              <w:top w:type="dxa" w:w="60"/>
              <w:left w:type="dxa" w:w="90"/>
              <w:bottom w:type="dxa" w:w="60"/>
              <w:right w:type="dxa" w:w="90"/>
            </w:tcMar>
          </w:tcPr>
          <w:p>
            <w:pPr>
              <w:jc w:val="left"/>
            </w:pPr>
            <w:r>
              <w:rPr>
                <w:b w:val="false"/>
                <w:bCs w:val="false"/>
                <w:sz w:val="17"/>
                <w:szCs w:val="17"/>
              </w:rPr>
              <w:t xml:space="preserve">Die Konsequenz ist dokumentiert — und der Kontrollrhythmus, an dem die Objektüberwachung selbst gemessen wird.</w:t>
            </w:r>
          </w:p>
        </w:tc>
      </w:tr>
      <w:tr>
        <w:trPr>
          <w:cantSplit/>
        </w:trPr>
        <w:tc>
          <w:tcPr>
            <w:tcW w:type="dxa" w:w="2400"/>
            <w:tcMar>
              <w:top w:type="dxa" w:w="60"/>
              <w:left w:type="dxa" w:w="90"/>
              <w:bottom w:type="dxa" w:w="60"/>
              <w:right w:type="dxa" w:w="90"/>
            </w:tcMar>
          </w:tcPr>
          <w:p>
            <w:pPr>
              <w:jc w:val="left"/>
            </w:pPr>
            <w:r>
              <w:rPr>
                <w:b/>
                <w:bCs/>
                <w:sz w:val="17"/>
                <w:szCs w:val="17"/>
              </w:rPr>
              <w:t xml:space="preserve">Fotos / Freigabe</w:t>
            </w:r>
          </w:p>
        </w:tc>
        <w:tc>
          <w:tcPr>
            <w:tcW w:type="dxa" w:w="7600"/>
            <w:tcMar>
              <w:top w:type="dxa" w:w="60"/>
              <w:left w:type="dxa" w:w="90"/>
              <w:bottom w:type="dxa" w:w="60"/>
              <w:right w:type="dxa" w:w="90"/>
            </w:tcMar>
          </w:tcPr>
          <w:p>
            <w:pPr>
              <w:jc w:val="left"/>
            </w:pPr>
            <w:r>
              <w:rPr>
                <w:b w:val="false"/>
                <w:bCs w:val="false"/>
                <w:sz w:val="17"/>
                <w:szCs w:val="17"/>
              </w:rPr>
              <w:t xml:space="preserve">Fotos 126–138; erstellt 23.09.2026 16:50, freigegeben 23.09.2026 17:20; externe Fassung an Auftraggeber 17:30 per System versendet</w:t>
            </w:r>
          </w:p>
        </w:tc>
        <w:tc>
          <w:tcPr>
            <w:tcW w:type="dxa" w:w="5138"/>
            <w:tcMar>
              <w:top w:type="dxa" w:w="60"/>
              <w:left w:type="dxa" w:w="90"/>
              <w:bottom w:type="dxa" w:w="60"/>
              <w:right w:type="dxa" w:w="90"/>
            </w:tcMar>
          </w:tcPr>
          <w:p>
            <w:pPr>
              <w:jc w:val="left"/>
            </w:pPr>
            <w:r>
              <w:rPr>
                <w:b w:val="false"/>
                <w:bCs w:val="false"/>
                <w:sz w:val="17"/>
                <w:szCs w:val="17"/>
              </w:rPr>
              <w:t xml:space="preserve">Versandzeitpunkt und -weg: Der Auftraggeber kann später nicht sagen, er habe vom Beinaheunfall nichts gewusst.</w:t>
            </w:r>
          </w:p>
        </w:tc>
      </w:tr>
    </w:tbl>
    <w:p>
      <w:pPr>
        <w:pStyle w:val="Heading2"/>
        <w:spacing w:before="360"/>
      </w:pPr>
      <w:r>
        <w:t xml:space="preserve">Quellen und Rechtsgrundlagen</w:t>
      </w:r>
    </w:p>
    <w:p>
      <w:pPr>
        <w:pStyle w:val="ListParagraph"/>
        <w:numPr>
          <w:ilvl w:val="0"/>
          <w:numId w:val="1"/>
        </w:numPr>
      </w:pPr>
      <w:r>
        <w:rPr>
          <w:sz w:val="16"/>
          <w:szCs w:val="16"/>
        </w:rPr>
        <w:t xml:space="preserve">HOAI, Anlage 10 — Nummer 10.1, Leistungsphase 8, Buchstabe e: Dokumentation des Bauablaufs (zum Beispiel Bautagebuch) —</w:t>
      </w:r>
      <w:hyperlink w:history="1" r:id="rIdgqb7owvqjo6ysxffxlxgm">
        <w:r>
          <w:rPr>
            <w:rStyle w:val="Hyperlink"/>
            <w:sz w:val="16"/>
            <w:szCs w:val="16"/>
          </w:rPr>
          <w:t xml:space="preserve">https://www.gesetze-im-internet.de/hoai_2013/anlage_10.html</w:t>
        </w:r>
      </w:hyperlink>
    </w:p>
    <w:p>
      <w:pPr>
        <w:pStyle w:val="ListParagraph"/>
        <w:numPr>
          <w:ilvl w:val="0"/>
          <w:numId w:val="1"/>
        </w:numPr>
      </w:pPr>
      <w:r>
        <w:rPr>
          <w:sz w:val="16"/>
          <w:szCs w:val="16"/>
        </w:rPr>
        <w:t xml:space="preserve">VOB/B (Ausgabe 2016), amtlicher Text des BMWSB — § 4 Abs. 1 Nr. 3 (Anordnungen des Auftraggebers), § 6 Abs. 1 (Behinderungsanzeige), § 15 Abs. 3 (Stundenlohnzettel) —</w:t>
      </w:r>
      <w:hyperlink w:history="1" r:id="rIdrxvyxsm3dw9r2fzlihkcx">
        <w:r>
          <w:rPr>
            <w:rStyle w:val="Hyperlink"/>
            <w:sz w:val="16"/>
            <w:szCs w:val="16"/>
          </w:rPr>
          <w:t xml:space="preserve">https://www.bmwsb.bund.de/SharedDocs/downloads/DE/veroeffentlichungen/bauen/vob-teil-b.pdf?__blob=publicationFile&amp;v=1</w:t>
        </w:r>
      </w:hyperlink>
    </w:p>
    <w:p>
      <w:pPr>
        <w:pStyle w:val="ListParagraph"/>
        <w:numPr>
          <w:ilvl w:val="0"/>
          <w:numId w:val="1"/>
        </w:numPr>
      </w:pPr>
      <w:r>
        <w:rPr>
          <w:sz w:val="16"/>
          <w:szCs w:val="16"/>
        </w:rPr>
        <w:t xml:space="preserve">§ 650b BGB — Änderung des Vertrags; Anordnungsrecht des Bestellers —</w:t>
      </w:r>
      <w:hyperlink w:history="1" r:id="rIdgsbuxstvjix_6io3jjwqi">
        <w:r>
          <w:rPr>
            <w:rStyle w:val="Hyperlink"/>
            <w:sz w:val="16"/>
            <w:szCs w:val="16"/>
          </w:rPr>
          <w:t xml:space="preserve">https://www.gesetze-im-internet.de/bgb/__650b.html</w:t>
        </w:r>
      </w:hyperlink>
    </w:p>
    <w:p>
      <w:pPr>
        <w:spacing w:before="160"/>
      </w:pPr>
      <w:r>
        <w:rPr>
          <w:color w:val="666666"/>
          <w:sz w:val="16"/>
          <w:szCs w:val="16"/>
        </w:rPr>
        <w:t xml:space="preserve">Rechtsstand: Deutschland (HOAI, VOB/B, BGB). Abweichende Vereinbarungen im Vertrag gehen vor. Diese Arbeitshilfe ersetzt keine Rechtsberatung im Einzelfall.</w:t>
      </w:r>
    </w:p>
    <w:sectPr>
      <w:footerReference w:type="default" r:id="rId7"/>
      <w:pgSz w:w="11906" w:h="16838" w:orient="landscape"/>
      <w:pgMar w:top="794" w:right="850" w:bottom="907"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666666"/>
        <w:sz w:val="15"/>
        <w:szCs w:val="15"/>
      </w:rPr>
      <w:t xml:space="preserve">Open Experience GmbH · https://openexperience.de/de/wissen/bautagebuch-vorlage/ · Seite </w:t>
    </w:r>
    <w:r>
      <w:rPr>
        <w:color w:val="666666"/>
        <w:sz w:val="15"/>
        <w:szCs w:val="15"/>
      </w:rPr>
      <w:fldChar w:fldCharType="begin"/>
      <w:instrText xml:space="preserve">PAGE</w:instrText>
      <w:fldChar w:fldCharType="separate"/>
      <w:fldChar w:fldCharType="end"/>
    </w:r>
    <w:r>
      <w:rPr>
        <w:color w:val="666666"/>
        <w:sz w:val="15"/>
        <w:szCs w:val="15"/>
      </w:rPr>
      <w:t xml:space="preserve"> von </w:t>
    </w:r>
    <w:r>
      <w:rPr>
        <w:color w:val="666666"/>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pPr>
    <w:rPr>
      <w:rFonts w:ascii="Arial" w:cs="Arial" w:eastAsia="Arial" w:hAnsi="Arial"/>
      <w:b/>
      <w:bCs/>
      <w:color w:val="1D1D1F"/>
      <w:sz w:val="34"/>
      <w:szCs w:val="34"/>
    </w:rPr>
  </w:style>
  <w:style w:type="paragraph" w:styleId="Heading2">
    <w:name w:val="Heading 2"/>
    <w:basedOn w:val="Normal"/>
    <w:next w:val="Normal"/>
    <w:qFormat/>
    <w:pPr>
      <w:spacing w:after="100" w:before="240"/>
    </w:pPr>
    <w:rPr>
      <w:rFonts w:ascii="Arial" w:cs="Arial" w:eastAsia="Arial" w:hAnsi="Arial"/>
      <w:b/>
      <w:bCs/>
      <w:color w:val="1D1D1F"/>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gqb7owvqjo6ysxffxlxgm" Type="http://schemas.openxmlformats.org/officeDocument/2006/relationships/hyperlink" Target="https://www.gesetze-im-internet.de/hoai_2013/anlage_10.html" TargetMode="External"/><Relationship Id="rIdrxvyxsm3dw9r2fzlihkcx" Type="http://schemas.openxmlformats.org/officeDocument/2006/relationships/hyperlink" Target="https://www.bmwsb.bund.de/SharedDocs/downloads/DE/veroeffentlichungen/bauen/vob-teil-b.pdf?__blob=publicationFile&amp;v=1" TargetMode="External"/><Relationship Id="rIdgsbuxstvjix_6io3jjwqi" Type="http://schemas.openxmlformats.org/officeDocument/2006/relationships/hyperlink" Target="https://www.gesetze-im-internet.de/bgb/__650b.html"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Bautagebuch-Vorlage: der Tagesbericht, der Jahre später noch trägt</dc:title>
  <dc:subject>Bautagebuch Vorlage</dc:subject>
  <dc:creator>Open Experience GmbH</dc:creator>
  <cp:keywords>Bautagebuch Vorlage</cp:keywords>
  <dc:description>Tagesbericht-Vorlage fürs Bautagebuch mit Witterung, Besetzung, Leistungen, Behinderungen und Anordnungen — plus drei ausgefüllte Bautage. Word und PDF, ohne Anmeldung.</dc:description>
  <cp:lastModifiedBy>Open Experience GmbH</cp:lastModifiedBy>
  <cp:revision>1</cp:revision>
  <dcterms:created xsi:type="dcterms:W3CDTF">2026-09-08T15:23:22.312Z</dcterms:created>
  <dcterms:modified xsi:type="dcterms:W3CDTF">2026-09-08T15:23:22.312Z</dcterms:modified>
</cp:coreProperties>
</file>

<file path=docProps/custom.xml><?xml version="1.0" encoding="utf-8"?>
<Properties xmlns="http://schemas.openxmlformats.org/officeDocument/2006/custom-properties" xmlns:vt="http://schemas.openxmlformats.org/officeDocument/2006/docPropsVTypes"/>
</file>