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Site diary template: the daily report that still holds up years later</w:t>
      </w:r>
    </w:p>
    <w:p>
      <w:pPr>
        <w:spacing w:after="240"/>
      </w:pPr>
      <w:r>
        <w:rPr>
          <w:color w:val="666666"/>
          <w:sz w:val="16"/>
          <w:szCs w:val="16"/>
        </w:rPr>
        <w:t xml:space="preserve">Open Experience GmbH · Last updated: 8 September 2026 · Online version with explanations: https://openexperience.de/en/wissen/bautagebuch-vorlage/</w:t>
      </w:r>
    </w:p>
    <w:p>
      <w:pPr>
        <w:spacing w:after="200"/>
      </w:pPr>
      <w:r>
        <w:t xml:space="preserve">A daily report records for each site day: date and weather, companies present with headcount, work carried out with location, equipment in use, deliveries with delivery note number, inspections and meetings, disruptions and stoppages with times, instructions and decisions with addressee and deadline, plus special incidents and the numbers of the day's photos. What matters is not the fields but three properties: kept continuously, written promptly and linked to photos and attachments. A diary reconstructed weeks later loses its evidential value — that is exactly what courts and experts check first.</w:t>
      </w:r>
    </w:p>
    <w:p>
      <w:pPr>
        <w:pBdr>
          <w:top w:val="single" w:color="BBBBBB" w:sz="4" w:space="6"/>
          <w:bottom w:val="single" w:color="BBBBBB" w:sz="4" w:space="6"/>
          <w:left w:val="single" w:color="BBBBBB" w:sz="4" w:space="6"/>
          <w:right w:val="single" w:color="BBBBBB" w:sz="4" w:space="6"/>
        </w:pBdr>
        <w:spacing w:after="200"/>
      </w:pPr>
      <w:r>
        <w:rPr>
          <w:b/>
          <w:bCs/>
          <w:sz w:val="17"/>
          <w:szCs w:val="17"/>
        </w:rPr>
        <w:t xml:space="preserve">Disclaimer:</w:t>
      </w:r>
      <w:r>
        <w:rPr>
          <w:color w:val="444444"/>
          <w:sz w:val="17"/>
          <w:szCs w:val="17"/>
        </w:rPr>
        <w:t xml:space="preserve">Non-binding sample, not legal advice. Which sections your contract requires is set out in the contract; notices of disruption and instructions do not replace the diary — they are only documented in it. Legal basis: Germany.</w:t>
      </w:r>
    </w:p>
    <w:p>
      <w:pPr>
        <w:pStyle w:val="Heading2"/>
        <w:pageBreakBefore/>
      </w:pPr>
      <w:r>
        <w:t xml:space="preserve">Site day 37 — Monday, 21 Sept 2026: a normal day</w:t>
      </w:r>
    </w:p>
    <w:p>
      <w:pPr>
        <w:spacing w:after="160"/>
      </w:pPr>
      <w:r>
        <w:rPr>
          <w:color w:val="444444"/>
        </w:rPr>
        <w:t xml:space="preserve">Dry weather, two companies on site, one approval before concreting. This is what a report looks like that reports nothing special — and still substantiates everything later.</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Section</w:t>
            </w:r>
          </w:p>
        </w:tc>
        <w:tc>
          <w:tcPr>
            <w:tcW w:type="dxa" w:w="7600"/>
            <w:shd w:fill="F2F2F2" w:color="auto" w:val="clear"/>
            <w:tcMar>
              <w:top w:type="dxa" w:w="60"/>
              <w:left w:type="dxa" w:w="90"/>
              <w:bottom w:type="dxa" w:w="60"/>
              <w:right w:type="dxa" w:w="90"/>
            </w:tcMar>
          </w:tcPr>
          <w:p>
            <w:pPr>
              <w:jc w:val="left"/>
            </w:pPr>
            <w:r>
              <w:rPr>
                <w:b/>
                <w:bCs/>
                <w:sz w:val="15"/>
                <w:szCs w:val="15"/>
              </w:rPr>
              <w:t xml:space="preserve">Entry in the report</w:t>
            </w:r>
          </w:p>
        </w:tc>
        <w:tc>
          <w:tcPr>
            <w:tcW w:type="dxa" w:w="5138"/>
            <w:shd w:fill="F2F2F2" w:color="auto" w:val="clear"/>
            <w:tcMar>
              <w:top w:type="dxa" w:w="60"/>
              <w:left w:type="dxa" w:w="90"/>
              <w:bottom w:type="dxa" w:w="60"/>
              <w:right w:type="dxa" w:w="90"/>
            </w:tcMar>
          </w:tcPr>
          <w:p>
            <w:pPr>
              <w:jc w:val="left"/>
            </w:pPr>
            <w:r>
              <w:rPr>
                <w:b/>
                <w:bCs/>
                <w:sz w:val="15"/>
                <w:szCs w:val="15"/>
              </w:rPr>
              <w:t xml:space="preserve">Why it counts</w:t>
            </w:r>
          </w:p>
        </w:tc>
      </w:tr>
      <w:tr>
        <w:trPr>
          <w:cantSplit/>
        </w:trPr>
        <w:tc>
          <w:tcPr>
            <w:tcW w:type="dxa" w:w="2400"/>
            <w:tcMar>
              <w:top w:type="dxa" w:w="60"/>
              <w:left w:type="dxa" w:w="90"/>
              <w:bottom w:type="dxa" w:w="60"/>
              <w:right w:type="dxa" w:w="90"/>
            </w:tcMar>
          </w:tcPr>
          <w:p>
            <w:pPr>
              <w:jc w:val="left"/>
            </w:pPr>
            <w:r>
              <w:rPr>
                <w:b/>
                <w:bCs/>
                <w:sz w:val="17"/>
                <w:szCs w:val="17"/>
              </w:rPr>
              <w:t xml:space="preserve">Weather</w:t>
            </w:r>
          </w:p>
        </w:tc>
        <w:tc>
          <w:tcPr>
            <w:tcW w:type="dxa" w:w="7600"/>
            <w:tcMar>
              <w:top w:type="dxa" w:w="60"/>
              <w:left w:type="dxa" w:w="90"/>
              <w:bottom w:type="dxa" w:w="60"/>
              <w:right w:type="dxa" w:w="90"/>
            </w:tcMar>
          </w:tcPr>
          <w:p>
            <w:pPr>
              <w:jc w:val="left"/>
            </w:pPr>
            <w:r>
              <w:rPr>
                <w:b w:val="false"/>
                <w:bCs w:val="false"/>
                <w:sz w:val="17"/>
                <w:szCs w:val="17"/>
              </w:rPr>
              <w:t xml:space="preserve">morning 9 °C, midday 16 °C, dry, light wind (source: weather service, Musterstadt station)</w:t>
            </w:r>
          </w:p>
        </w:tc>
        <w:tc>
          <w:tcPr>
            <w:tcW w:type="dxa" w:w="5138"/>
            <w:tcMar>
              <w:top w:type="dxa" w:w="60"/>
              <w:left w:type="dxa" w:w="90"/>
              <w:bottom w:type="dxa" w:w="60"/>
              <w:right w:type="dxa" w:w="90"/>
            </w:tcMar>
          </w:tcPr>
          <w:p>
            <w:pPr>
              <w:jc w:val="left"/>
            </w:pPr>
            <w:r>
              <w:rPr>
                <w:b w:val="false"/>
                <w:bCs w:val="false"/>
                <w:sz w:val="17"/>
                <w:szCs w:val="17"/>
              </w:rPr>
              <w:t xml:space="preserve">The source makes the value verifiable; without it, it is one word against another.</w:t>
            </w:r>
          </w:p>
        </w:tc>
      </w:tr>
      <w:tr>
        <w:trPr>
          <w:cantSplit/>
        </w:trPr>
        <w:tc>
          <w:tcPr>
            <w:tcW w:type="dxa" w:w="2400"/>
            <w:tcMar>
              <w:top w:type="dxa" w:w="60"/>
              <w:left w:type="dxa" w:w="90"/>
              <w:bottom w:type="dxa" w:w="60"/>
              <w:right w:type="dxa" w:w="90"/>
            </w:tcMar>
          </w:tcPr>
          <w:p>
            <w:pPr>
              <w:jc w:val="left"/>
            </w:pPr>
            <w:r>
              <w:rPr>
                <w:b/>
                <w:bCs/>
                <w:sz w:val="17"/>
                <w:szCs w:val="17"/>
              </w:rPr>
              <w:t xml:space="preserve">Staffing</w:t>
            </w:r>
          </w:p>
        </w:tc>
        <w:tc>
          <w:tcPr>
            <w:tcW w:type="dxa" w:w="7600"/>
            <w:tcMar>
              <w:top w:type="dxa" w:w="60"/>
              <w:left w:type="dxa" w:w="90"/>
              <w:bottom w:type="dxa" w:w="60"/>
              <w:right w:type="dxa" w:w="90"/>
            </w:tcMar>
          </w:tcPr>
          <w:p>
            <w:pPr>
              <w:jc w:val="left"/>
            </w:pPr>
            <w:r>
              <w:rPr>
                <w:b w:val="false"/>
                <w:bCs w:val="false"/>
                <w:sz w:val="17"/>
                <w:szCs w:val="17"/>
              </w:rPr>
              <w:t xml:space="preserve">Shell contractor A: 8 persons (1 foreman, 7 skilled workers), slab above ground floor; electrical contractor B: 2 persons, conduits in ground-floor slab</w:t>
            </w:r>
          </w:p>
        </w:tc>
        <w:tc>
          <w:tcPr>
            <w:tcW w:type="dxa" w:w="5138"/>
            <w:tcMar>
              <w:top w:type="dxa" w:w="60"/>
              <w:left w:type="dxa" w:w="90"/>
              <w:bottom w:type="dxa" w:w="60"/>
              <w:right w:type="dxa" w:w="90"/>
            </w:tcMar>
          </w:tcPr>
          <w:p>
            <w:pPr>
              <w:jc w:val="left"/>
            </w:pPr>
            <w:r>
              <w:rPr>
                <w:b w:val="false"/>
                <w:bCs w:val="false"/>
                <w:sz w:val="17"/>
                <w:szCs w:val="17"/>
              </w:rPr>
              <w:t xml:space="preserve">Headcount per company and work location — the basis for every later discussion about construction time and daywork.</w:t>
            </w:r>
          </w:p>
        </w:tc>
      </w:tr>
      <w:tr>
        <w:trPr>
          <w:cantSplit/>
        </w:trPr>
        <w:tc>
          <w:tcPr>
            <w:tcW w:type="dxa" w:w="2400"/>
            <w:tcMar>
              <w:top w:type="dxa" w:w="60"/>
              <w:left w:type="dxa" w:w="90"/>
              <w:bottom w:type="dxa" w:w="60"/>
              <w:right w:type="dxa" w:w="90"/>
            </w:tcMar>
          </w:tcPr>
          <w:p>
            <w:pPr>
              <w:jc w:val="left"/>
            </w:pPr>
            <w:r>
              <w:rPr>
                <w:b/>
                <w:bCs/>
                <w:sz w:val="17"/>
                <w:szCs w:val="17"/>
              </w:rPr>
              <w:t xml:space="preserve">Inspection</w:t>
            </w:r>
          </w:p>
        </w:tc>
        <w:tc>
          <w:tcPr>
            <w:tcW w:type="dxa" w:w="7600"/>
            <w:tcMar>
              <w:top w:type="dxa" w:w="60"/>
              <w:left w:type="dxa" w:w="90"/>
              <w:bottom w:type="dxa" w:w="60"/>
              <w:right w:type="dxa" w:w="90"/>
            </w:tcMar>
          </w:tcPr>
          <w:p>
            <w:pPr>
              <w:jc w:val="left"/>
            </w:pPr>
            <w:r>
              <w:rPr>
                <w:b w:val="false"/>
                <w:bCs w:val="false"/>
                <w:sz w:val="17"/>
                <w:szCs w:val="17"/>
              </w:rPr>
              <w:t xml:space="preserve">10:30 reinforcement inspection slab above ground floor, grid lines 1–3, with shell foreman A: position, diameters, spacers and concrete cover checked, approved; photos 112–118</w:t>
            </w:r>
          </w:p>
        </w:tc>
        <w:tc>
          <w:tcPr>
            <w:tcW w:type="dxa" w:w="5138"/>
            <w:tcMar>
              <w:top w:type="dxa" w:w="60"/>
              <w:left w:type="dxa" w:w="90"/>
              <w:bottom w:type="dxa" w:w="60"/>
              <w:right w:type="dxa" w:w="90"/>
            </w:tcMar>
          </w:tcPr>
          <w:p>
            <w:pPr>
              <w:jc w:val="left"/>
            </w:pPr>
            <w:r>
              <w:rPr>
                <w:b w:val="false"/>
                <w:bCs w:val="false"/>
                <w:sz w:val="17"/>
                <w:szCs w:val="17"/>
              </w:rPr>
              <w:t xml:space="preserve">Approval before concreting with photo numbers: once concreted, the reinforcement can never be checked again.</w:t>
            </w:r>
          </w:p>
        </w:tc>
      </w:tr>
      <w:tr>
        <w:trPr>
          <w:cantSplit/>
        </w:trPr>
        <w:tc>
          <w:tcPr>
            <w:tcW w:type="dxa" w:w="2400"/>
            <w:tcMar>
              <w:top w:type="dxa" w:w="60"/>
              <w:left w:type="dxa" w:w="90"/>
              <w:bottom w:type="dxa" w:w="60"/>
              <w:right w:type="dxa" w:w="90"/>
            </w:tcMar>
          </w:tcPr>
          <w:p>
            <w:pPr>
              <w:jc w:val="left"/>
            </w:pPr>
            <w:r>
              <w:rPr>
                <w:b/>
                <w:bCs/>
                <w:sz w:val="17"/>
                <w:szCs w:val="17"/>
              </w:rPr>
              <w:t xml:space="preserve">Work done</w:t>
            </w:r>
          </w:p>
        </w:tc>
        <w:tc>
          <w:tcPr>
            <w:tcW w:type="dxa" w:w="7600"/>
            <w:tcMar>
              <w:top w:type="dxa" w:w="60"/>
              <w:left w:type="dxa" w:w="90"/>
              <w:bottom w:type="dxa" w:w="60"/>
              <w:right w:type="dxa" w:w="90"/>
            </w:tcMar>
          </w:tcPr>
          <w:p>
            <w:pPr>
              <w:jc w:val="left"/>
            </w:pPr>
            <w:r>
              <w:rPr>
                <w:b w:val="false"/>
                <w:bCs w:val="false"/>
                <w:sz w:val="17"/>
                <w:szCs w:val="17"/>
              </w:rPr>
              <w:t xml:space="preserve">Shell A: slab formwork grid lines 5–8 (about 120 m²), reinforcement grid lines 1–3 complete; electrical B: conduits in ground-floor slab grid lines 1–3 laid, checked before pouring</w:t>
            </w:r>
          </w:p>
        </w:tc>
        <w:tc>
          <w:tcPr>
            <w:tcW w:type="dxa" w:w="5138"/>
            <w:tcMar>
              <w:top w:type="dxa" w:w="60"/>
              <w:left w:type="dxa" w:w="90"/>
              <w:bottom w:type="dxa" w:w="60"/>
              <w:right w:type="dxa" w:w="90"/>
            </w:tcMar>
          </w:tcPr>
          <w:p>
            <w:pPr>
              <w:jc w:val="left"/>
            </w:pPr>
            <w:r>
              <w:rPr>
                <w:b w:val="false"/>
                <w:bCs w:val="false"/>
                <w:sz w:val="17"/>
                <w:szCs w:val="17"/>
              </w:rPr>
              <w:t xml:space="preserve">Location and quantity per item make progress traceable day by day.</w:t>
            </w:r>
          </w:p>
        </w:tc>
      </w:tr>
      <w:tr>
        <w:trPr>
          <w:cantSplit/>
        </w:trPr>
        <w:tc>
          <w:tcPr>
            <w:tcW w:type="dxa" w:w="2400"/>
            <w:tcMar>
              <w:top w:type="dxa" w:w="60"/>
              <w:left w:type="dxa" w:w="90"/>
              <w:bottom w:type="dxa" w:w="60"/>
              <w:right w:type="dxa" w:w="90"/>
            </w:tcMar>
          </w:tcPr>
          <w:p>
            <w:pPr>
              <w:jc w:val="left"/>
            </w:pPr>
            <w:r>
              <w:rPr>
                <w:b/>
                <w:bCs/>
                <w:sz w:val="17"/>
                <w:szCs w:val="17"/>
              </w:rPr>
              <w:t xml:space="preserve">Deliveries</w:t>
            </w:r>
          </w:p>
        </w:tc>
        <w:tc>
          <w:tcPr>
            <w:tcW w:type="dxa" w:w="7600"/>
            <w:tcMar>
              <w:top w:type="dxa" w:w="60"/>
              <w:left w:type="dxa" w:w="90"/>
              <w:bottom w:type="dxa" w:w="60"/>
              <w:right w:type="dxa" w:w="90"/>
            </w:tcMar>
          </w:tcPr>
          <w:p>
            <w:pPr>
              <w:jc w:val="left"/>
            </w:pPr>
            <w:r>
              <w:rPr>
                <w:b w:val="false"/>
                <w:bCs w:val="false"/>
                <w:sz w:val="17"/>
                <w:szCs w:val="17"/>
              </w:rPr>
              <w:t xml:space="preserve">09:40 reinforcing steel 4.2 t, delivery note 4711-0921, accepted; 13:15 formwork material, delivery note 88-217, accepted</w:t>
            </w:r>
          </w:p>
        </w:tc>
        <w:tc>
          <w:tcPr>
            <w:tcW w:type="dxa" w:w="5138"/>
            <w:tcMar>
              <w:top w:type="dxa" w:w="60"/>
              <w:left w:type="dxa" w:w="90"/>
              <w:bottom w:type="dxa" w:w="60"/>
              <w:right w:type="dxa" w:w="90"/>
            </w:tcMar>
          </w:tcPr>
          <w:p>
            <w:pPr>
              <w:jc w:val="left"/>
            </w:pPr>
            <w:r>
              <w:rPr>
                <w:b w:val="false"/>
                <w:bCs w:val="false"/>
                <w:sz w:val="17"/>
                <w:szCs w:val="17"/>
              </w:rPr>
              <w:t xml:space="preserve">Time and delivery note number link the diary, the delivery note and the invoice check.</w:t>
            </w:r>
          </w:p>
        </w:tc>
      </w:tr>
      <w:tr>
        <w:trPr>
          <w:cantSplit/>
        </w:trPr>
        <w:tc>
          <w:tcPr>
            <w:tcW w:type="dxa" w:w="2400"/>
            <w:tcMar>
              <w:top w:type="dxa" w:w="60"/>
              <w:left w:type="dxa" w:w="90"/>
              <w:bottom w:type="dxa" w:w="60"/>
              <w:right w:type="dxa" w:w="90"/>
            </w:tcMar>
          </w:tcPr>
          <w:p>
            <w:pPr>
              <w:jc w:val="left"/>
            </w:pPr>
            <w:r>
              <w:rPr>
                <w:b/>
                <w:bCs/>
                <w:sz w:val="17"/>
                <w:szCs w:val="17"/>
              </w:rPr>
              <w:t xml:space="preserve">Equipment</w:t>
            </w:r>
          </w:p>
        </w:tc>
        <w:tc>
          <w:tcPr>
            <w:tcW w:type="dxa" w:w="7600"/>
            <w:tcMar>
              <w:top w:type="dxa" w:w="60"/>
              <w:left w:type="dxa" w:w="90"/>
              <w:bottom w:type="dxa" w:w="60"/>
              <w:right w:type="dxa" w:w="90"/>
            </w:tcMar>
          </w:tcPr>
          <w:p>
            <w:pPr>
              <w:jc w:val="left"/>
            </w:pPr>
            <w:r>
              <w:rPr>
                <w:b w:val="false"/>
                <w:bCs w:val="false"/>
                <w:sz w:val="17"/>
                <w:szCs w:val="17"/>
              </w:rPr>
              <w:t xml:space="preserve">Tower crane 1 (07:00–16:30), compactors 2</w:t>
            </w:r>
          </w:p>
        </w:tc>
        <w:tc>
          <w:tcPr>
            <w:tcW w:type="dxa" w:w="5138"/>
            <w:tcMar>
              <w:top w:type="dxa" w:w="60"/>
              <w:left w:type="dxa" w:w="90"/>
              <w:bottom w:type="dxa" w:w="60"/>
              <w:right w:type="dxa" w:w="90"/>
            </w:tcMar>
          </w:tcPr>
          <w:p>
            <w:pPr>
              <w:jc w:val="left"/>
            </w:pPr>
            <w:r>
              <w:rPr>
                <w:b w:val="false"/>
                <w:bCs w:val="false"/>
                <w:sz w:val="17"/>
                <w:szCs w:val="17"/>
              </w:rPr>
              <w:t xml:space="preserve">Operating times later substantiate standstills and plant provision.</w:t>
            </w:r>
          </w:p>
        </w:tc>
      </w:tr>
      <w:tr>
        <w:trPr>
          <w:cantSplit/>
        </w:trPr>
        <w:tc>
          <w:tcPr>
            <w:tcW w:type="dxa" w:w="2400"/>
            <w:tcMar>
              <w:top w:type="dxa" w:w="60"/>
              <w:left w:type="dxa" w:w="90"/>
              <w:bottom w:type="dxa" w:w="60"/>
              <w:right w:type="dxa" w:w="90"/>
            </w:tcMar>
          </w:tcPr>
          <w:p>
            <w:pPr>
              <w:jc w:val="left"/>
            </w:pPr>
            <w:r>
              <w:rPr>
                <w:b/>
                <w:bCs/>
                <w:sz w:val="17"/>
                <w:szCs w:val="17"/>
              </w:rPr>
              <w:t xml:space="preserve">Remark (internal)</w:t>
            </w:r>
          </w:p>
        </w:tc>
        <w:tc>
          <w:tcPr>
            <w:tcW w:type="dxa" w:w="7600"/>
            <w:tcMar>
              <w:top w:type="dxa" w:w="60"/>
              <w:left w:type="dxa" w:w="90"/>
              <w:bottom w:type="dxa" w:w="60"/>
              <w:right w:type="dxa" w:w="90"/>
            </w:tcMar>
          </w:tcPr>
          <w:p>
            <w:pPr>
              <w:jc w:val="left"/>
            </w:pPr>
            <w:r>
              <w:rPr>
                <w:b w:val="false"/>
                <w:bCs w:val="false"/>
                <w:sz w:val="17"/>
                <w:szCs w:val="17"/>
              </w:rPr>
              <w:t xml:space="preserve">(i) Query to structural engineer regarding opening D-07 (slab above ground floor, grid 3/B) open since 18 Sept; no concreting of grid line 3 without an answer</w:t>
            </w:r>
          </w:p>
        </w:tc>
        <w:tc>
          <w:tcPr>
            <w:tcW w:type="dxa" w:w="5138"/>
            <w:tcMar>
              <w:top w:type="dxa" w:w="60"/>
              <w:left w:type="dxa" w:w="90"/>
              <w:bottom w:type="dxa" w:w="60"/>
              <w:right w:type="dxa" w:w="90"/>
            </w:tcMar>
          </w:tcPr>
          <w:p>
            <w:pPr>
              <w:jc w:val="left"/>
            </w:pPr>
            <w:r>
              <w:rPr>
                <w:b w:val="false"/>
                <w:bCs w:val="false"/>
                <w:sz w:val="17"/>
                <w:szCs w:val="17"/>
              </w:rPr>
              <w:t xml:space="preserve">Your own queries and risk assessments stay in the internal report — the client report states only the fact once it has consequences.</w:t>
            </w:r>
          </w:p>
        </w:tc>
      </w:tr>
      <w:tr>
        <w:trPr>
          <w:cantSplit/>
        </w:trPr>
        <w:tc>
          <w:tcPr>
            <w:tcW w:type="dxa" w:w="2400"/>
            <w:tcMar>
              <w:top w:type="dxa" w:w="60"/>
              <w:left w:type="dxa" w:w="90"/>
              <w:bottom w:type="dxa" w:w="60"/>
              <w:right w:type="dxa" w:w="90"/>
            </w:tcMar>
          </w:tcPr>
          <w:p>
            <w:pPr>
              <w:jc w:val="left"/>
            </w:pPr>
            <w:r>
              <w:rPr>
                <w:b/>
                <w:bCs/>
                <w:sz w:val="17"/>
                <w:szCs w:val="17"/>
              </w:rPr>
              <w:t xml:space="preserve">Photos / approval</w:t>
            </w:r>
          </w:p>
        </w:tc>
        <w:tc>
          <w:tcPr>
            <w:tcW w:type="dxa" w:w="7600"/>
            <w:tcMar>
              <w:top w:type="dxa" w:w="60"/>
              <w:left w:type="dxa" w:w="90"/>
              <w:bottom w:type="dxa" w:w="60"/>
              <w:right w:type="dxa" w:w="90"/>
            </w:tcMar>
          </w:tcPr>
          <w:p>
            <w:pPr>
              <w:jc w:val="left"/>
            </w:pPr>
            <w:r>
              <w:rPr>
                <w:b w:val="false"/>
                <w:bCs w:val="false"/>
                <w:sz w:val="17"/>
                <w:szCs w:val="17"/>
              </w:rPr>
              <w:t xml:space="preserve">Photos 109–121; prepared 21 Sept 2026 17:10 site supervision, approved 21 Sept 2026 17:40</w:t>
            </w:r>
          </w:p>
        </w:tc>
        <w:tc>
          <w:tcPr>
            <w:tcW w:type="dxa" w:w="5138"/>
            <w:tcMar>
              <w:top w:type="dxa" w:w="60"/>
              <w:left w:type="dxa" w:w="90"/>
              <w:bottom w:type="dxa" w:w="60"/>
              <w:right w:type="dxa" w:w="90"/>
            </w:tcMar>
          </w:tcPr>
          <w:p>
            <w:pPr>
              <w:jc w:val="left"/>
            </w:pPr>
            <w:r>
              <w:rPr>
                <w:b w:val="false"/>
                <w:bCs w:val="false"/>
                <w:sz w:val="17"/>
                <w:szCs w:val="17"/>
              </w:rPr>
              <w:t xml:space="preserve">Creation on the same day is the proof of continuity.</w:t>
            </w:r>
          </w:p>
        </w:tc>
      </w:tr>
    </w:tbl>
    <w:p>
      <w:pPr>
        <w:pStyle w:val="Heading2"/>
        <w:pageBreakBefore/>
      </w:pPr>
      <w:r>
        <w:t xml:space="preserve">Site day 38 — Tuesday, 22 Sept 2026: disruption due to weather</w:t>
      </w:r>
    </w:p>
    <w:p>
      <w:pPr>
        <w:spacing w:after="160"/>
      </w:pPr>
      <w:r>
        <w:rPr>
          <w:color w:val="444444"/>
        </w:rPr>
        <w:t xml:space="preserve">Heavy rain interrupts the concrete pour. The report records start, end, consequences and the notice — without judging who bears the consequences.</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Section</w:t>
            </w:r>
          </w:p>
        </w:tc>
        <w:tc>
          <w:tcPr>
            <w:tcW w:type="dxa" w:w="7600"/>
            <w:shd w:fill="F2F2F2" w:color="auto" w:val="clear"/>
            <w:tcMar>
              <w:top w:type="dxa" w:w="60"/>
              <w:left w:type="dxa" w:w="90"/>
              <w:bottom w:type="dxa" w:w="60"/>
              <w:right w:type="dxa" w:w="90"/>
            </w:tcMar>
          </w:tcPr>
          <w:p>
            <w:pPr>
              <w:jc w:val="left"/>
            </w:pPr>
            <w:r>
              <w:rPr>
                <w:b/>
                <w:bCs/>
                <w:sz w:val="15"/>
                <w:szCs w:val="15"/>
              </w:rPr>
              <w:t xml:space="preserve">Entry in the report</w:t>
            </w:r>
          </w:p>
        </w:tc>
        <w:tc>
          <w:tcPr>
            <w:tcW w:type="dxa" w:w="5138"/>
            <w:shd w:fill="F2F2F2" w:color="auto" w:val="clear"/>
            <w:tcMar>
              <w:top w:type="dxa" w:w="60"/>
              <w:left w:type="dxa" w:w="90"/>
              <w:bottom w:type="dxa" w:w="60"/>
              <w:right w:type="dxa" w:w="90"/>
            </w:tcMar>
          </w:tcPr>
          <w:p>
            <w:pPr>
              <w:jc w:val="left"/>
            </w:pPr>
            <w:r>
              <w:rPr>
                <w:b/>
                <w:bCs/>
                <w:sz w:val="15"/>
                <w:szCs w:val="15"/>
              </w:rPr>
              <w:t xml:space="preserve">Why it counts</w:t>
            </w:r>
          </w:p>
        </w:tc>
      </w:tr>
      <w:tr>
        <w:trPr>
          <w:cantSplit/>
        </w:trPr>
        <w:tc>
          <w:tcPr>
            <w:tcW w:type="dxa" w:w="2400"/>
            <w:tcMar>
              <w:top w:type="dxa" w:w="60"/>
              <w:left w:type="dxa" w:w="90"/>
              <w:bottom w:type="dxa" w:w="60"/>
              <w:right w:type="dxa" w:w="90"/>
            </w:tcMar>
          </w:tcPr>
          <w:p>
            <w:pPr>
              <w:jc w:val="left"/>
            </w:pPr>
            <w:r>
              <w:rPr>
                <w:b/>
                <w:bCs/>
                <w:sz w:val="17"/>
                <w:szCs w:val="17"/>
              </w:rPr>
              <w:t xml:space="preserve">Weather</w:t>
            </w:r>
          </w:p>
        </w:tc>
        <w:tc>
          <w:tcPr>
            <w:tcW w:type="dxa" w:w="7600"/>
            <w:tcMar>
              <w:top w:type="dxa" w:w="60"/>
              <w:left w:type="dxa" w:w="90"/>
              <w:bottom w:type="dxa" w:w="60"/>
              <w:right w:type="dxa" w:w="90"/>
            </w:tcMar>
          </w:tcPr>
          <w:p>
            <w:pPr>
              <w:jc w:val="left"/>
            </w:pPr>
            <w:r>
              <w:rPr>
                <w:b w:val="false"/>
                <w:bCs w:val="false"/>
                <w:sz w:val="17"/>
                <w:szCs w:val="17"/>
              </w:rPr>
              <w:t xml:space="preserve">morning 2 °C, midday 7 °C; heavy rain from 10:50, continuing until 15:30; wind 6 Bft (weather service, Musterstadt station)</w:t>
            </w:r>
          </w:p>
        </w:tc>
        <w:tc>
          <w:tcPr>
            <w:tcW w:type="dxa" w:w="5138"/>
            <w:tcMar>
              <w:top w:type="dxa" w:w="60"/>
              <w:left w:type="dxa" w:w="90"/>
              <w:bottom w:type="dxa" w:w="60"/>
              <w:right w:type="dxa" w:w="90"/>
            </w:tcMar>
          </w:tcPr>
          <w:p>
            <w:pPr>
              <w:jc w:val="left"/>
            </w:pPr>
            <w:r>
              <w:rPr>
                <w:b w:val="false"/>
                <w:bCs w:val="false"/>
                <w:sz w:val="17"/>
                <w:szCs w:val="17"/>
              </w:rPr>
              <w:t xml:space="preserve">Onset and intensity are the basis for the question of whether the weather was exceptional.</w:t>
            </w:r>
          </w:p>
        </w:tc>
      </w:tr>
      <w:tr>
        <w:trPr>
          <w:cantSplit/>
        </w:trPr>
        <w:tc>
          <w:tcPr>
            <w:tcW w:type="dxa" w:w="2400"/>
            <w:tcMar>
              <w:top w:type="dxa" w:w="60"/>
              <w:left w:type="dxa" w:w="90"/>
              <w:bottom w:type="dxa" w:w="60"/>
              <w:right w:type="dxa" w:w="90"/>
            </w:tcMar>
          </w:tcPr>
          <w:p>
            <w:pPr>
              <w:jc w:val="left"/>
            </w:pPr>
            <w:r>
              <w:rPr>
                <w:b/>
                <w:bCs/>
                <w:sz w:val="17"/>
                <w:szCs w:val="17"/>
              </w:rPr>
              <w:t xml:space="preserve">Staffing</w:t>
            </w:r>
          </w:p>
        </w:tc>
        <w:tc>
          <w:tcPr>
            <w:tcW w:type="dxa" w:w="7600"/>
            <w:tcMar>
              <w:top w:type="dxa" w:w="60"/>
              <w:left w:type="dxa" w:w="90"/>
              <w:bottom w:type="dxa" w:w="60"/>
              <w:right w:type="dxa" w:w="90"/>
            </w:tcMar>
          </w:tcPr>
          <w:p>
            <w:pPr>
              <w:jc w:val="left"/>
            </w:pPr>
            <w:r>
              <w:rPr>
                <w:b w:val="false"/>
                <w:bCs w:val="false"/>
                <w:sz w:val="17"/>
                <w:szCs w:val="17"/>
              </w:rPr>
              <w:t xml:space="preserve">Shell A: 8 persons until 11:30, then 3 (securing, covering); electrical B: not present</w:t>
            </w:r>
          </w:p>
        </w:tc>
        <w:tc>
          <w:tcPr>
            <w:tcW w:type="dxa" w:w="5138"/>
            <w:tcMar>
              <w:top w:type="dxa" w:w="60"/>
              <w:left w:type="dxa" w:w="90"/>
              <w:bottom w:type="dxa" w:w="60"/>
              <w:right w:type="dxa" w:w="90"/>
            </w:tcMar>
          </w:tcPr>
          <w:p>
            <w:pPr>
              <w:jc w:val="left"/>
            </w:pPr>
            <w:r>
              <w:rPr>
                <w:b w:val="false"/>
                <w:bCs w:val="false"/>
                <w:sz w:val="17"/>
                <w:szCs w:val="17"/>
              </w:rPr>
              <w:t xml:space="preserve">The reduction from 11:30 quantifies the consequence of the disruption.</w:t>
            </w:r>
          </w:p>
        </w:tc>
      </w:tr>
      <w:tr>
        <w:trPr>
          <w:cantSplit/>
        </w:trPr>
        <w:tc>
          <w:tcPr>
            <w:tcW w:type="dxa" w:w="2400"/>
            <w:tcMar>
              <w:top w:type="dxa" w:w="60"/>
              <w:left w:type="dxa" w:w="90"/>
              <w:bottom w:type="dxa" w:w="60"/>
              <w:right w:type="dxa" w:w="90"/>
            </w:tcMar>
          </w:tcPr>
          <w:p>
            <w:pPr>
              <w:jc w:val="left"/>
            </w:pPr>
            <w:r>
              <w:rPr>
                <w:b/>
                <w:bCs/>
                <w:sz w:val="17"/>
                <w:szCs w:val="17"/>
              </w:rPr>
              <w:t xml:space="preserve">Disruption</w:t>
            </w:r>
          </w:p>
        </w:tc>
        <w:tc>
          <w:tcPr>
            <w:tcW w:type="dxa" w:w="7600"/>
            <w:tcMar>
              <w:top w:type="dxa" w:w="60"/>
              <w:left w:type="dxa" w:w="90"/>
              <w:bottom w:type="dxa" w:w="60"/>
              <w:right w:type="dxa" w:w="90"/>
            </w:tcMar>
          </w:tcPr>
          <w:p>
            <w:pPr>
              <w:jc w:val="left"/>
            </w:pPr>
            <w:r>
              <w:rPr>
                <w:b w:val="false"/>
                <w:bCs w:val="false"/>
                <w:sz w:val="17"/>
                <w:szCs w:val="17"/>
              </w:rPr>
              <w:t xml:space="preserve">11:20–end of day: concrete pour slab above ground floor grid lines 1–3 aborted after 1st truck because of heavy rain; 2 trucks of ready-mixed concrete rejected (delivery notes 5020-0922, 5021-0922); resumption planned 23 Sept. Notice of disruption under § 6 (1) VOB/B from shell A received in writing at 12:05 (attachment 38-1)</w:t>
            </w:r>
          </w:p>
        </w:tc>
        <w:tc>
          <w:tcPr>
            <w:tcW w:type="dxa" w:w="5138"/>
            <w:tcMar>
              <w:top w:type="dxa" w:w="60"/>
              <w:left w:type="dxa" w:w="90"/>
              <w:bottom w:type="dxa" w:w="60"/>
              <w:right w:type="dxa" w:w="90"/>
            </w:tcMar>
          </w:tcPr>
          <w:p>
            <w:pPr>
              <w:jc w:val="left"/>
            </w:pPr>
            <w:r>
              <w:rPr>
                <w:b w:val="false"/>
                <w:bCs w:val="false"/>
                <w:sz w:val="17"/>
                <w:szCs w:val="17"/>
              </w:rPr>
              <w:t xml:space="preserve">From–to, affected work, traces of consequential cost (rejections) and the notice with time — the entry quantifies the disruption without judging it.</w:t>
            </w:r>
          </w:p>
        </w:tc>
      </w:tr>
      <w:tr>
        <w:trPr>
          <w:cantSplit/>
        </w:trPr>
        <w:tc>
          <w:tcPr>
            <w:tcW w:type="dxa" w:w="2400"/>
            <w:tcMar>
              <w:top w:type="dxa" w:w="60"/>
              <w:left w:type="dxa" w:w="90"/>
              <w:bottom w:type="dxa" w:w="60"/>
              <w:right w:type="dxa" w:w="90"/>
            </w:tcMar>
          </w:tcPr>
          <w:p>
            <w:pPr>
              <w:jc w:val="left"/>
            </w:pPr>
            <w:r>
              <w:rPr>
                <w:b/>
                <w:bCs/>
                <w:sz w:val="17"/>
                <w:szCs w:val="17"/>
              </w:rPr>
              <w:t xml:space="preserve">Work done</w:t>
            </w:r>
          </w:p>
        </w:tc>
        <w:tc>
          <w:tcPr>
            <w:tcW w:type="dxa" w:w="7600"/>
            <w:tcMar>
              <w:top w:type="dxa" w:w="60"/>
              <w:left w:type="dxa" w:w="90"/>
              <w:bottom w:type="dxa" w:w="60"/>
              <w:right w:type="dxa" w:w="90"/>
            </w:tcMar>
          </w:tcPr>
          <w:p>
            <w:pPr>
              <w:jc w:val="left"/>
            </w:pPr>
            <w:r>
              <w:rPr>
                <w:b w:val="false"/>
                <w:bCs w:val="false"/>
                <w:sz w:val="17"/>
                <w:szCs w:val="17"/>
              </w:rPr>
              <w:t xml:space="preserve">Shell A: slab formwork grid lines 5–8 continued (until 10:50), reinforcement grid lines 1–3 covered with sheeting</w:t>
            </w:r>
          </w:p>
        </w:tc>
        <w:tc>
          <w:tcPr>
            <w:tcW w:type="dxa" w:w="5138"/>
            <w:tcMar>
              <w:top w:type="dxa" w:w="60"/>
              <w:left w:type="dxa" w:w="90"/>
              <w:bottom w:type="dxa" w:w="60"/>
              <w:right w:type="dxa" w:w="90"/>
            </w:tcMar>
          </w:tcPr>
          <w:p>
            <w:pPr>
              <w:jc w:val="left"/>
            </w:pPr>
            <w:r>
              <w:rPr>
                <w:b w:val="false"/>
                <w:bCs w:val="false"/>
                <w:sz w:val="17"/>
                <w:szCs w:val="17"/>
              </w:rPr>
              <w:t xml:space="preserve">What was achieved despite the disruption belongs in just as much.</w:t>
            </w:r>
          </w:p>
        </w:tc>
      </w:tr>
      <w:tr>
        <w:trPr>
          <w:cantSplit/>
        </w:trPr>
        <w:tc>
          <w:tcPr>
            <w:tcW w:type="dxa" w:w="2400"/>
            <w:tcMar>
              <w:top w:type="dxa" w:w="60"/>
              <w:left w:type="dxa" w:w="90"/>
              <w:bottom w:type="dxa" w:w="60"/>
              <w:right w:type="dxa" w:w="90"/>
            </w:tcMar>
          </w:tcPr>
          <w:p>
            <w:pPr>
              <w:jc w:val="left"/>
            </w:pPr>
            <w:r>
              <w:rPr>
                <w:b/>
                <w:bCs/>
                <w:sz w:val="17"/>
                <w:szCs w:val="17"/>
              </w:rPr>
              <w:t xml:space="preserve">Deliveries</w:t>
            </w:r>
          </w:p>
        </w:tc>
        <w:tc>
          <w:tcPr>
            <w:tcW w:type="dxa" w:w="7600"/>
            <w:tcMar>
              <w:top w:type="dxa" w:w="60"/>
              <w:left w:type="dxa" w:w="90"/>
              <w:bottom w:type="dxa" w:w="60"/>
              <w:right w:type="dxa" w:w="90"/>
            </w:tcMar>
          </w:tcPr>
          <w:p>
            <w:pPr>
              <w:jc w:val="left"/>
            </w:pPr>
            <w:r>
              <w:rPr>
                <w:b w:val="false"/>
                <w:bCs w:val="false"/>
                <w:sz w:val="17"/>
                <w:szCs w:val="17"/>
              </w:rPr>
              <w:t xml:space="preserve">10:35 ready-mixed concrete C30/37, 8 m³, delivery note 5019-0922, placed; 11:05 and 11:30 8 m³ each, delivery notes 5020/5021-0922, rejected (rain)</w:t>
            </w:r>
          </w:p>
        </w:tc>
        <w:tc>
          <w:tcPr>
            <w:tcW w:type="dxa" w:w="5138"/>
            <w:tcMar>
              <w:top w:type="dxa" w:w="60"/>
              <w:left w:type="dxa" w:w="90"/>
              <w:bottom w:type="dxa" w:w="60"/>
              <w:right w:type="dxa" w:w="90"/>
            </w:tcMar>
          </w:tcPr>
          <w:p>
            <w:pPr>
              <w:jc w:val="left"/>
            </w:pPr>
            <w:r>
              <w:rPr>
                <w:b w:val="false"/>
                <w:bCs w:val="false"/>
                <w:sz w:val="17"/>
                <w:szCs w:val="17"/>
              </w:rPr>
              <w:t xml:space="preserve">Rejected deliveries with numbers: exactly these invoices will be disputed later.</w:t>
            </w:r>
          </w:p>
        </w:tc>
      </w:tr>
      <w:tr>
        <w:trPr>
          <w:cantSplit/>
        </w:trPr>
        <w:tc>
          <w:tcPr>
            <w:tcW w:type="dxa" w:w="2400"/>
            <w:tcMar>
              <w:top w:type="dxa" w:w="60"/>
              <w:left w:type="dxa" w:w="90"/>
              <w:bottom w:type="dxa" w:w="60"/>
              <w:right w:type="dxa" w:w="90"/>
            </w:tcMar>
          </w:tcPr>
          <w:p>
            <w:pPr>
              <w:jc w:val="left"/>
            </w:pPr>
            <w:r>
              <w:rPr>
                <w:b/>
                <w:bCs/>
                <w:sz w:val="17"/>
                <w:szCs w:val="17"/>
              </w:rPr>
              <w:t xml:space="preserve">Instruction</w:t>
            </w:r>
          </w:p>
        </w:tc>
        <w:tc>
          <w:tcPr>
            <w:tcW w:type="dxa" w:w="7600"/>
            <w:tcMar>
              <w:top w:type="dxa" w:w="60"/>
              <w:left w:type="dxa" w:w="90"/>
              <w:bottom w:type="dxa" w:w="60"/>
              <w:right w:type="dxa" w:w="90"/>
            </w:tcMar>
          </w:tcPr>
          <w:p>
            <w:pPr>
              <w:jc w:val="left"/>
            </w:pPr>
            <w:r>
              <w:rPr>
                <w:b w:val="false"/>
                <w:bCs w:val="false"/>
                <w:sz w:val="17"/>
                <w:szCs w:val="17"/>
              </w:rPr>
              <w:t xml:space="preserve">No. 06 to shell A, 11:25: cover fresh concrete grid line 1 against rain, ensure curing; deadline immediately; photo 124</w:t>
            </w:r>
          </w:p>
        </w:tc>
        <w:tc>
          <w:tcPr>
            <w:tcW w:type="dxa" w:w="5138"/>
            <w:tcMar>
              <w:top w:type="dxa" w:w="60"/>
              <w:left w:type="dxa" w:w="90"/>
              <w:bottom w:type="dxa" w:w="60"/>
              <w:right w:type="dxa" w:w="90"/>
            </w:tcMar>
          </w:tcPr>
          <w:p>
            <w:pPr>
              <w:jc w:val="left"/>
            </w:pPr>
            <w:r>
              <w:rPr>
                <w:b w:val="false"/>
                <w:bCs w:val="false"/>
                <w:sz w:val="17"/>
                <w:szCs w:val="17"/>
              </w:rPr>
              <w:t xml:space="preserve">Addressee, time, content, deadline, photo — an oral instruction thus becomes a documented direction.</w:t>
            </w:r>
          </w:p>
        </w:tc>
      </w:tr>
      <w:tr>
        <w:trPr>
          <w:cantSplit/>
        </w:trPr>
        <w:tc>
          <w:tcPr>
            <w:tcW w:type="dxa" w:w="2400"/>
            <w:tcMar>
              <w:top w:type="dxa" w:w="60"/>
              <w:left w:type="dxa" w:w="90"/>
              <w:bottom w:type="dxa" w:w="60"/>
              <w:right w:type="dxa" w:w="90"/>
            </w:tcMar>
          </w:tcPr>
          <w:p>
            <w:pPr>
              <w:jc w:val="left"/>
            </w:pPr>
            <w:r>
              <w:rPr>
                <w:b/>
                <w:bCs/>
                <w:sz w:val="17"/>
                <w:szCs w:val="17"/>
              </w:rPr>
              <w:t xml:space="preserve">Remark (external)</w:t>
            </w:r>
          </w:p>
        </w:tc>
        <w:tc>
          <w:tcPr>
            <w:tcW w:type="dxa" w:w="7600"/>
            <w:tcMar>
              <w:top w:type="dxa" w:w="60"/>
              <w:left w:type="dxa" w:w="90"/>
              <w:bottom w:type="dxa" w:w="60"/>
              <w:right w:type="dxa" w:w="90"/>
            </w:tcMar>
          </w:tcPr>
          <w:p>
            <w:pPr>
              <w:jc w:val="left"/>
            </w:pPr>
            <w:r>
              <w:rPr>
                <w:b w:val="false"/>
                <w:bCs w:val="false"/>
                <w:sz w:val="17"/>
                <w:szCs w:val="17"/>
              </w:rPr>
              <w:t xml:space="preserve">Construction schedule will be updated after the concrete pour resumes (as of 23 Sept)</w:t>
            </w:r>
          </w:p>
        </w:tc>
        <w:tc>
          <w:tcPr>
            <w:tcW w:type="dxa" w:w="5138"/>
            <w:tcMar>
              <w:top w:type="dxa" w:w="60"/>
              <w:left w:type="dxa" w:w="90"/>
              <w:bottom w:type="dxa" w:w="60"/>
              <w:right w:type="dxa" w:w="90"/>
            </w:tcMar>
          </w:tcPr>
          <w:p>
            <w:pPr>
              <w:jc w:val="left"/>
            </w:pPr>
            <w:r>
              <w:rPr>
                <w:b w:val="false"/>
                <w:bCs w:val="false"/>
                <w:sz w:val="17"/>
                <w:szCs w:val="17"/>
              </w:rPr>
              <w:t xml:space="preserve">The external version states the fact; the cost consequence is in the internal part.</w:t>
            </w:r>
          </w:p>
        </w:tc>
      </w:tr>
      <w:tr>
        <w:trPr>
          <w:cantSplit/>
        </w:trPr>
        <w:tc>
          <w:tcPr>
            <w:tcW w:type="dxa" w:w="2400"/>
            <w:tcMar>
              <w:top w:type="dxa" w:w="60"/>
              <w:left w:type="dxa" w:w="90"/>
              <w:bottom w:type="dxa" w:w="60"/>
              <w:right w:type="dxa" w:w="90"/>
            </w:tcMar>
          </w:tcPr>
          <w:p>
            <w:pPr>
              <w:jc w:val="left"/>
            </w:pPr>
            <w:r>
              <w:rPr>
                <w:b/>
                <w:bCs/>
                <w:sz w:val="17"/>
                <w:szCs w:val="17"/>
              </w:rPr>
              <w:t xml:space="preserve">Remark (internal)</w:t>
            </w:r>
          </w:p>
        </w:tc>
        <w:tc>
          <w:tcPr>
            <w:tcW w:type="dxa" w:w="7600"/>
            <w:tcMar>
              <w:top w:type="dxa" w:w="60"/>
              <w:left w:type="dxa" w:w="90"/>
              <w:bottom w:type="dxa" w:w="60"/>
              <w:right w:type="dxa" w:w="90"/>
            </w:tcMar>
          </w:tcPr>
          <w:p>
            <w:pPr>
              <w:jc w:val="left"/>
            </w:pPr>
            <w:r>
              <w:rPr>
                <w:b w:val="false"/>
                <w:bCs w:val="false"/>
                <w:sz w:val="17"/>
                <w:szCs w:val="17"/>
              </w:rPr>
              <w:t xml:space="preserve">(i) Clarify cost consequence of the rejections: ordered by shell A despite rain forecast — responsibility open</w:t>
            </w:r>
          </w:p>
        </w:tc>
        <w:tc>
          <w:tcPr>
            <w:tcW w:type="dxa" w:w="5138"/>
            <w:tcMar>
              <w:top w:type="dxa" w:w="60"/>
              <w:left w:type="dxa" w:w="90"/>
              <w:bottom w:type="dxa" w:w="60"/>
              <w:right w:type="dxa" w:w="90"/>
            </w:tcMar>
          </w:tcPr>
          <w:p>
            <w:pPr>
              <w:jc w:val="left"/>
            </w:pPr>
            <w:r>
              <w:rPr>
                <w:b w:val="false"/>
                <w:bCs w:val="false"/>
                <w:sz w:val="17"/>
                <w:szCs w:val="17"/>
              </w:rPr>
              <w:t xml:space="preserve">The assessment stays internal until it is clarified; in the diary it is dated, not backdated.</w:t>
            </w:r>
          </w:p>
        </w:tc>
      </w:tr>
    </w:tbl>
    <w:p>
      <w:pPr>
        <w:pStyle w:val="Heading2"/>
        <w:pageBreakBefore/>
      </w:pPr>
      <w:r>
        <w:t xml:space="preserve">Site day 39 — Wednesday, 23 Sept 2026: instruction and near miss</w:t>
      </w:r>
    </w:p>
    <w:p>
      <w:pPr>
        <w:spacing w:after="160"/>
      </w:pPr>
      <w:r>
        <w:rPr>
          <w:color w:val="444444"/>
        </w:rPr>
        <w:t xml:space="preserve">Concrete pour caught up, an opening changed on instruction, a missing fall guard discovered. Three entries, each of which justifies a file of its own.</w:t>
      </w:r>
    </w:p>
    <w:tbl>
      <w:tblPr>
        <w:tblW w:type="dxa" w:w="15138"/>
        <w:tblBorders>
          <w:top w:val="single" w:color="auto" w:sz="4"/>
          <w:left w:val="single" w:color="auto" w:sz="4"/>
          <w:bottom w:val="single" w:color="auto" w:sz="4"/>
          <w:right w:val="single" w:color="auto" w:sz="4"/>
          <w:insideH w:val="single" w:color="auto" w:sz="4"/>
          <w:insideV w:val="single" w:color="auto" w:sz="4"/>
        </w:tblBorders>
      </w:tblPr>
      <w:tblGrid>
        <w:gridCol w:w="2400"/>
        <w:gridCol w:w="7600"/>
        <w:gridCol w:w="5138"/>
      </w:tblGrid>
      <w:tr>
        <w:trPr>
          <w:tblHeader/>
        </w:trPr>
        <w:tc>
          <w:tcPr>
            <w:tcW w:type="dxa" w:w="2400"/>
            <w:shd w:fill="F2F2F2" w:color="auto" w:val="clear"/>
            <w:tcMar>
              <w:top w:type="dxa" w:w="60"/>
              <w:left w:type="dxa" w:w="90"/>
              <w:bottom w:type="dxa" w:w="60"/>
              <w:right w:type="dxa" w:w="90"/>
            </w:tcMar>
          </w:tcPr>
          <w:p>
            <w:pPr>
              <w:jc w:val="left"/>
            </w:pPr>
            <w:r>
              <w:rPr>
                <w:b/>
                <w:bCs/>
                <w:sz w:val="15"/>
                <w:szCs w:val="15"/>
              </w:rPr>
              <w:t xml:space="preserve">Section</w:t>
            </w:r>
          </w:p>
        </w:tc>
        <w:tc>
          <w:tcPr>
            <w:tcW w:type="dxa" w:w="7600"/>
            <w:shd w:fill="F2F2F2" w:color="auto" w:val="clear"/>
            <w:tcMar>
              <w:top w:type="dxa" w:w="60"/>
              <w:left w:type="dxa" w:w="90"/>
              <w:bottom w:type="dxa" w:w="60"/>
              <w:right w:type="dxa" w:w="90"/>
            </w:tcMar>
          </w:tcPr>
          <w:p>
            <w:pPr>
              <w:jc w:val="left"/>
            </w:pPr>
            <w:r>
              <w:rPr>
                <w:b/>
                <w:bCs/>
                <w:sz w:val="15"/>
                <w:szCs w:val="15"/>
              </w:rPr>
              <w:t xml:space="preserve">Entry in the report</w:t>
            </w:r>
          </w:p>
        </w:tc>
        <w:tc>
          <w:tcPr>
            <w:tcW w:type="dxa" w:w="5138"/>
            <w:shd w:fill="F2F2F2" w:color="auto" w:val="clear"/>
            <w:tcMar>
              <w:top w:type="dxa" w:w="60"/>
              <w:left w:type="dxa" w:w="90"/>
              <w:bottom w:type="dxa" w:w="60"/>
              <w:right w:type="dxa" w:w="90"/>
            </w:tcMar>
          </w:tcPr>
          <w:p>
            <w:pPr>
              <w:jc w:val="left"/>
            </w:pPr>
            <w:r>
              <w:rPr>
                <w:b/>
                <w:bCs/>
                <w:sz w:val="15"/>
                <w:szCs w:val="15"/>
              </w:rPr>
              <w:t xml:space="preserve">Why it counts</w:t>
            </w:r>
          </w:p>
        </w:tc>
      </w:tr>
      <w:tr>
        <w:trPr>
          <w:cantSplit/>
        </w:trPr>
        <w:tc>
          <w:tcPr>
            <w:tcW w:type="dxa" w:w="2400"/>
            <w:tcMar>
              <w:top w:type="dxa" w:w="60"/>
              <w:left w:type="dxa" w:w="90"/>
              <w:bottom w:type="dxa" w:w="60"/>
              <w:right w:type="dxa" w:w="90"/>
            </w:tcMar>
          </w:tcPr>
          <w:p>
            <w:pPr>
              <w:jc w:val="left"/>
            </w:pPr>
            <w:r>
              <w:rPr>
                <w:b/>
                <w:bCs/>
                <w:sz w:val="17"/>
                <w:szCs w:val="17"/>
              </w:rPr>
              <w:t xml:space="preserve">Weather</w:t>
            </w:r>
          </w:p>
        </w:tc>
        <w:tc>
          <w:tcPr>
            <w:tcW w:type="dxa" w:w="7600"/>
            <w:tcMar>
              <w:top w:type="dxa" w:w="60"/>
              <w:left w:type="dxa" w:w="90"/>
              <w:bottom w:type="dxa" w:w="60"/>
              <w:right w:type="dxa" w:w="90"/>
            </w:tcMar>
          </w:tcPr>
          <w:p>
            <w:pPr>
              <w:jc w:val="left"/>
            </w:pPr>
            <w:r>
              <w:rPr>
                <w:b w:val="false"/>
                <w:bCs w:val="false"/>
                <w:sz w:val="17"/>
                <w:szCs w:val="17"/>
              </w:rPr>
              <w:t xml:space="preserve">morning 5 °C, midday 12 °C, dry, light wind (weather service, Musterstadt station)</w:t>
            </w:r>
          </w:p>
        </w:tc>
        <w:tc>
          <w:tcPr>
            <w:tcW w:type="dxa" w:w="5138"/>
            <w:tcMar>
              <w:top w:type="dxa" w:w="60"/>
              <w:left w:type="dxa" w:w="90"/>
              <w:bottom w:type="dxa" w:w="60"/>
              <w:right w:type="dxa" w:w="90"/>
            </w:tcMar>
          </w:tcPr>
          <w:p>
            <w:pPr>
              <w:jc w:val="left"/>
            </w:pPr>
            <w:r>
              <w:rPr>
                <w:b w:val="false"/>
                <w:bCs w:val="false"/>
                <w:sz w:val="17"/>
                <w:szCs w:val="17"/>
              </w:rPr>
              <w:t xml:space="preserve">Substantiates that the pour on 23 Sept was possible without weather risk.</w:t>
            </w:r>
          </w:p>
        </w:tc>
      </w:tr>
      <w:tr>
        <w:trPr>
          <w:cantSplit/>
        </w:trPr>
        <w:tc>
          <w:tcPr>
            <w:tcW w:type="dxa" w:w="2400"/>
            <w:tcMar>
              <w:top w:type="dxa" w:w="60"/>
              <w:left w:type="dxa" w:w="90"/>
              <w:bottom w:type="dxa" w:w="60"/>
              <w:right w:type="dxa" w:w="90"/>
            </w:tcMar>
          </w:tcPr>
          <w:p>
            <w:pPr>
              <w:jc w:val="left"/>
            </w:pPr>
            <w:r>
              <w:rPr>
                <w:b/>
                <w:bCs/>
                <w:sz w:val="17"/>
                <w:szCs w:val="17"/>
              </w:rPr>
              <w:t xml:space="preserve">Inspection</w:t>
            </w:r>
          </w:p>
        </w:tc>
        <w:tc>
          <w:tcPr>
            <w:tcW w:type="dxa" w:w="7600"/>
            <w:tcMar>
              <w:top w:type="dxa" w:w="60"/>
              <w:left w:type="dxa" w:w="90"/>
              <w:bottom w:type="dxa" w:w="60"/>
              <w:right w:type="dxa" w:w="90"/>
            </w:tcMar>
          </w:tcPr>
          <w:p>
            <w:pPr>
              <w:jc w:val="left"/>
            </w:pPr>
            <w:r>
              <w:rPr>
                <w:b w:val="false"/>
                <w:bCs w:val="false"/>
                <w:sz w:val="17"/>
                <w:szCs w:val="17"/>
              </w:rPr>
              <w:t xml:space="preserve">08:00 inspection with the client's representative (building management office) and shell foreman A: reinforcement grid lines 1–3 checked after rain, sheeting removed, approved; photos 126–129</w:t>
            </w:r>
          </w:p>
        </w:tc>
        <w:tc>
          <w:tcPr>
            <w:tcW w:type="dxa" w:w="5138"/>
            <w:tcMar>
              <w:top w:type="dxa" w:w="60"/>
              <w:left w:type="dxa" w:w="90"/>
              <w:bottom w:type="dxa" w:w="60"/>
              <w:right w:type="dxa" w:w="90"/>
            </w:tcMar>
          </w:tcPr>
          <w:p>
            <w:pPr>
              <w:jc w:val="left"/>
            </w:pPr>
            <w:r>
              <w:rPr>
                <w:b w:val="false"/>
                <w:bCs w:val="false"/>
                <w:sz w:val="17"/>
                <w:szCs w:val="17"/>
              </w:rPr>
              <w:t xml:space="preserve">Renewed approval after the interruption — without it the pour would have no documented starting condition.</w:t>
            </w:r>
          </w:p>
        </w:tc>
      </w:tr>
      <w:tr>
        <w:trPr>
          <w:cantSplit/>
        </w:trPr>
        <w:tc>
          <w:tcPr>
            <w:tcW w:type="dxa" w:w="2400"/>
            <w:tcMar>
              <w:top w:type="dxa" w:w="60"/>
              <w:left w:type="dxa" w:w="90"/>
              <w:bottom w:type="dxa" w:w="60"/>
              <w:right w:type="dxa" w:w="90"/>
            </w:tcMar>
          </w:tcPr>
          <w:p>
            <w:pPr>
              <w:jc w:val="left"/>
            </w:pPr>
            <w:r>
              <w:rPr>
                <w:b/>
                <w:bCs/>
                <w:sz w:val="17"/>
                <w:szCs w:val="17"/>
              </w:rPr>
              <w:t xml:space="preserve">Instruction</w:t>
            </w:r>
          </w:p>
        </w:tc>
        <w:tc>
          <w:tcPr>
            <w:tcW w:type="dxa" w:w="7600"/>
            <w:tcMar>
              <w:top w:type="dxa" w:w="60"/>
              <w:left w:type="dxa" w:w="90"/>
              <w:bottom w:type="dxa" w:w="60"/>
              <w:right w:type="dxa" w:w="90"/>
            </w:tcMar>
          </w:tcPr>
          <w:p>
            <w:pPr>
              <w:jc w:val="left"/>
            </w:pPr>
            <w:r>
              <w:rPr>
                <w:b w:val="false"/>
                <w:bCs w:val="false"/>
                <w:sz w:val="17"/>
                <w:szCs w:val="17"/>
              </w:rPr>
              <w:t xml:space="preserve">No. 07 to shell A, 08:20: form opening D-07 (slab above ground floor, grid 3/B) before pouring to drawing S-203 revision c (structural engineer's answer of 22 Sept on file, attachment 39-1); deadline before start of pour; photo 130</w:t>
            </w:r>
          </w:p>
        </w:tc>
        <w:tc>
          <w:tcPr>
            <w:tcW w:type="dxa" w:w="5138"/>
            <w:tcMar>
              <w:top w:type="dxa" w:w="60"/>
              <w:left w:type="dxa" w:w="90"/>
              <w:bottom w:type="dxa" w:w="60"/>
              <w:right w:type="dxa" w:w="90"/>
            </w:tcMar>
          </w:tcPr>
          <w:p>
            <w:pPr>
              <w:jc w:val="left"/>
            </w:pPr>
            <w:r>
              <w:rPr>
                <w:b w:val="false"/>
                <w:bCs w:val="false"/>
                <w:sz w:val="17"/>
                <w:szCs w:val="17"/>
              </w:rPr>
              <w:t xml:space="preserve">Drawing revision and the attachment make the instruction unambiguous — a later variation claim can be measured against it.</w:t>
            </w:r>
          </w:p>
        </w:tc>
      </w:tr>
      <w:tr>
        <w:trPr>
          <w:cantSplit/>
        </w:trPr>
        <w:tc>
          <w:tcPr>
            <w:tcW w:type="dxa" w:w="2400"/>
            <w:tcMar>
              <w:top w:type="dxa" w:w="60"/>
              <w:left w:type="dxa" w:w="90"/>
              <w:bottom w:type="dxa" w:w="60"/>
              <w:right w:type="dxa" w:w="90"/>
            </w:tcMar>
          </w:tcPr>
          <w:p>
            <w:pPr>
              <w:jc w:val="left"/>
            </w:pPr>
            <w:r>
              <w:rPr>
                <w:b/>
                <w:bCs/>
                <w:sz w:val="17"/>
                <w:szCs w:val="17"/>
              </w:rPr>
              <w:t xml:space="preserve">Work done</w:t>
            </w:r>
          </w:p>
        </w:tc>
        <w:tc>
          <w:tcPr>
            <w:tcW w:type="dxa" w:w="7600"/>
            <w:tcMar>
              <w:top w:type="dxa" w:w="60"/>
              <w:left w:type="dxa" w:w="90"/>
              <w:bottom w:type="dxa" w:w="60"/>
              <w:right w:type="dxa" w:w="90"/>
            </w:tcMar>
          </w:tcPr>
          <w:p>
            <w:pPr>
              <w:jc w:val="left"/>
            </w:pPr>
            <w:r>
              <w:rPr>
                <w:b w:val="false"/>
                <w:bCs w:val="false"/>
                <w:sz w:val="17"/>
                <w:szCs w:val="17"/>
              </w:rPr>
              <w:t xml:space="preserve">Shell A: concrete pour slab above ground floor grid lines 1–3, 48 m³ C30/37, 09:30–13:10; cube samples no. 12–14 taken; slab formwork grid lines 5–8 complete</w:t>
            </w:r>
          </w:p>
        </w:tc>
        <w:tc>
          <w:tcPr>
            <w:tcW w:type="dxa" w:w="5138"/>
            <w:tcMar>
              <w:top w:type="dxa" w:w="60"/>
              <w:left w:type="dxa" w:w="90"/>
              <w:bottom w:type="dxa" w:w="60"/>
              <w:right w:type="dxa" w:w="90"/>
            </w:tcMar>
          </w:tcPr>
          <w:p>
            <w:pPr>
              <w:jc w:val="left"/>
            </w:pPr>
            <w:r>
              <w:rPr>
                <w:b w:val="false"/>
                <w:bCs w:val="false"/>
                <w:sz w:val="17"/>
                <w:szCs w:val="17"/>
              </w:rPr>
              <w:t xml:space="preserve">Quantity, period and sample numbers: for later questions about the concrete this is the only link between sample and element.</w:t>
            </w:r>
          </w:p>
        </w:tc>
      </w:tr>
      <w:tr>
        <w:trPr>
          <w:cantSplit/>
        </w:trPr>
        <w:tc>
          <w:tcPr>
            <w:tcW w:type="dxa" w:w="2400"/>
            <w:tcMar>
              <w:top w:type="dxa" w:w="60"/>
              <w:left w:type="dxa" w:w="90"/>
              <w:bottom w:type="dxa" w:w="60"/>
              <w:right w:type="dxa" w:w="90"/>
            </w:tcMar>
          </w:tcPr>
          <w:p>
            <w:pPr>
              <w:jc w:val="left"/>
            </w:pPr>
            <w:r>
              <w:rPr>
                <w:b/>
                <w:bCs/>
                <w:sz w:val="17"/>
                <w:szCs w:val="17"/>
              </w:rPr>
              <w:t xml:space="preserve">Incident</w:t>
            </w:r>
          </w:p>
        </w:tc>
        <w:tc>
          <w:tcPr>
            <w:tcW w:type="dxa" w:w="7600"/>
            <w:tcMar>
              <w:top w:type="dxa" w:w="60"/>
              <w:left w:type="dxa" w:w="90"/>
              <w:bottom w:type="dxa" w:w="60"/>
              <w:right w:type="dxa" w:w="90"/>
            </w:tcMar>
          </w:tcPr>
          <w:p>
            <w:pPr>
              <w:jc w:val="left"/>
            </w:pPr>
            <w:r>
              <w:rPr>
                <w:b w:val="false"/>
                <w:bCs w:val="false"/>
                <w:sz w:val="17"/>
                <w:szCs w:val="17"/>
              </w:rPr>
              <w:t xml:space="preserve">10:40 near miss: fall guard at stairwell opening 1st floor missing, skilled worker shell A slipped, not injured; immediate action guardrail added 10:55, photo 131; reported to safety coordinator 11:10</w:t>
            </w:r>
          </w:p>
        </w:tc>
        <w:tc>
          <w:tcPr>
            <w:tcW w:type="dxa" w:w="5138"/>
            <w:tcMar>
              <w:top w:type="dxa" w:w="60"/>
              <w:left w:type="dxa" w:w="90"/>
              <w:bottom w:type="dxa" w:w="60"/>
              <w:right w:type="dxa" w:w="90"/>
            </w:tcMar>
          </w:tcPr>
          <w:p>
            <w:pPr>
              <w:jc w:val="left"/>
            </w:pPr>
            <w:r>
              <w:rPr>
                <w:b w:val="false"/>
                <w:bCs w:val="false"/>
                <w:sz w:val="17"/>
                <w:szCs w:val="17"/>
              </w:rPr>
              <w:t xml:space="preserve">Time, sequence without names, immediate action, report — complete and without blame.</w:t>
            </w:r>
          </w:p>
        </w:tc>
      </w:tr>
      <w:tr>
        <w:trPr>
          <w:cantSplit/>
        </w:trPr>
        <w:tc>
          <w:tcPr>
            <w:tcW w:type="dxa" w:w="2400"/>
            <w:tcMar>
              <w:top w:type="dxa" w:w="60"/>
              <w:left w:type="dxa" w:w="90"/>
              <w:bottom w:type="dxa" w:w="60"/>
              <w:right w:type="dxa" w:w="90"/>
            </w:tcMar>
          </w:tcPr>
          <w:p>
            <w:pPr>
              <w:jc w:val="left"/>
            </w:pPr>
            <w:r>
              <w:rPr>
                <w:b/>
                <w:bCs/>
                <w:sz w:val="17"/>
                <w:szCs w:val="17"/>
              </w:rPr>
              <w:t xml:space="preserve">Deliveries</w:t>
            </w:r>
          </w:p>
        </w:tc>
        <w:tc>
          <w:tcPr>
            <w:tcW w:type="dxa" w:w="7600"/>
            <w:tcMar>
              <w:top w:type="dxa" w:w="60"/>
              <w:left w:type="dxa" w:w="90"/>
              <w:bottom w:type="dxa" w:w="60"/>
              <w:right w:type="dxa" w:w="90"/>
            </w:tcMar>
          </w:tcPr>
          <w:p>
            <w:pPr>
              <w:jc w:val="left"/>
            </w:pPr>
            <w:r>
              <w:rPr>
                <w:b w:val="false"/>
                <w:bCs w:val="false"/>
                <w:sz w:val="17"/>
                <w:szCs w:val="17"/>
              </w:rPr>
              <w:t xml:space="preserve">09:20–12:40 ready-mixed concrete 6 trucks of 8 m³ each, delivery notes 5031–5036-0923, all placed</w:t>
            </w:r>
          </w:p>
        </w:tc>
        <w:tc>
          <w:tcPr>
            <w:tcW w:type="dxa" w:w="5138"/>
            <w:tcMar>
              <w:top w:type="dxa" w:w="60"/>
              <w:left w:type="dxa" w:w="90"/>
              <w:bottom w:type="dxa" w:w="60"/>
              <w:right w:type="dxa" w:w="90"/>
            </w:tcMar>
          </w:tcPr>
          <w:p>
            <w:pPr>
              <w:jc w:val="left"/>
            </w:pPr>
            <w:r>
              <w:rPr>
                <w:b w:val="false"/>
                <w:bCs w:val="false"/>
                <w:sz w:val="17"/>
                <w:szCs w:val="17"/>
              </w:rPr>
              <w:t xml:space="preserve">Truck sequence and numbers confirm the quantity placed.</w:t>
            </w:r>
          </w:p>
        </w:tc>
      </w:tr>
      <w:tr>
        <w:trPr>
          <w:cantSplit/>
        </w:trPr>
        <w:tc>
          <w:tcPr>
            <w:tcW w:type="dxa" w:w="2400"/>
            <w:tcMar>
              <w:top w:type="dxa" w:w="60"/>
              <w:left w:type="dxa" w:w="90"/>
              <w:bottom w:type="dxa" w:w="60"/>
              <w:right w:type="dxa" w:w="90"/>
            </w:tcMar>
          </w:tcPr>
          <w:p>
            <w:pPr>
              <w:jc w:val="left"/>
            </w:pPr>
            <w:r>
              <w:rPr>
                <w:b/>
                <w:bCs/>
                <w:sz w:val="17"/>
                <w:szCs w:val="17"/>
              </w:rPr>
              <w:t xml:space="preserve">Remark (internal)</w:t>
            </w:r>
          </w:p>
        </w:tc>
        <w:tc>
          <w:tcPr>
            <w:tcW w:type="dxa" w:w="7600"/>
            <w:tcMar>
              <w:top w:type="dxa" w:w="60"/>
              <w:left w:type="dxa" w:w="90"/>
              <w:bottom w:type="dxa" w:w="60"/>
              <w:right w:type="dxa" w:w="90"/>
            </w:tcMar>
          </w:tcPr>
          <w:p>
            <w:pPr>
              <w:jc w:val="left"/>
            </w:pPr>
            <w:r>
              <w:rPr>
                <w:b w:val="false"/>
                <w:bCs w:val="false"/>
                <w:sz w:val="17"/>
                <w:szCs w:val="17"/>
              </w:rPr>
              <w:t xml:space="preserve">(i) Fall guard: shell A reminded of its duty to provide protection under the site safety regulations; daily check until end of shell construction</w:t>
            </w:r>
          </w:p>
        </w:tc>
        <w:tc>
          <w:tcPr>
            <w:tcW w:type="dxa" w:w="5138"/>
            <w:tcMar>
              <w:top w:type="dxa" w:w="60"/>
              <w:left w:type="dxa" w:w="90"/>
              <w:bottom w:type="dxa" w:w="60"/>
              <w:right w:type="dxa" w:w="90"/>
            </w:tcMar>
          </w:tcPr>
          <w:p>
            <w:pPr>
              <w:jc w:val="left"/>
            </w:pPr>
            <w:r>
              <w:rPr>
                <w:b w:val="false"/>
                <w:bCs w:val="false"/>
                <w:sz w:val="17"/>
                <w:szCs w:val="17"/>
              </w:rPr>
              <w:t xml:space="preserve">The consequence is documented — and the checking rhythm against which site supervision itself will be measured.</w:t>
            </w:r>
          </w:p>
        </w:tc>
      </w:tr>
      <w:tr>
        <w:trPr>
          <w:cantSplit/>
        </w:trPr>
        <w:tc>
          <w:tcPr>
            <w:tcW w:type="dxa" w:w="2400"/>
            <w:tcMar>
              <w:top w:type="dxa" w:w="60"/>
              <w:left w:type="dxa" w:w="90"/>
              <w:bottom w:type="dxa" w:w="60"/>
              <w:right w:type="dxa" w:w="90"/>
            </w:tcMar>
          </w:tcPr>
          <w:p>
            <w:pPr>
              <w:jc w:val="left"/>
            </w:pPr>
            <w:r>
              <w:rPr>
                <w:b/>
                <w:bCs/>
                <w:sz w:val="17"/>
                <w:szCs w:val="17"/>
              </w:rPr>
              <w:t xml:space="preserve">Photos / approval</w:t>
            </w:r>
          </w:p>
        </w:tc>
        <w:tc>
          <w:tcPr>
            <w:tcW w:type="dxa" w:w="7600"/>
            <w:tcMar>
              <w:top w:type="dxa" w:w="60"/>
              <w:left w:type="dxa" w:w="90"/>
              <w:bottom w:type="dxa" w:w="60"/>
              <w:right w:type="dxa" w:w="90"/>
            </w:tcMar>
          </w:tcPr>
          <w:p>
            <w:pPr>
              <w:jc w:val="left"/>
            </w:pPr>
            <w:r>
              <w:rPr>
                <w:b w:val="false"/>
                <w:bCs w:val="false"/>
                <w:sz w:val="17"/>
                <w:szCs w:val="17"/>
              </w:rPr>
              <w:t xml:space="preserve">Photos 126–138; prepared 23 Sept 2026 16:50, approved 23 Sept 2026 17:20; external version sent to client 17:30 via system</w:t>
            </w:r>
          </w:p>
        </w:tc>
        <w:tc>
          <w:tcPr>
            <w:tcW w:type="dxa" w:w="5138"/>
            <w:tcMar>
              <w:top w:type="dxa" w:w="60"/>
              <w:left w:type="dxa" w:w="90"/>
              <w:bottom w:type="dxa" w:w="60"/>
              <w:right w:type="dxa" w:w="90"/>
            </w:tcMar>
          </w:tcPr>
          <w:p>
            <w:pPr>
              <w:jc w:val="left"/>
            </w:pPr>
            <w:r>
              <w:rPr>
                <w:b w:val="false"/>
                <w:bCs w:val="false"/>
                <w:sz w:val="17"/>
                <w:szCs w:val="17"/>
              </w:rPr>
              <w:t xml:space="preserve">Time and channel of dispatch: the client cannot later claim to have known nothing about the near miss.</w:t>
            </w:r>
          </w:p>
        </w:tc>
      </w:tr>
    </w:tbl>
    <w:p>
      <w:pPr>
        <w:pStyle w:val="Heading2"/>
        <w:spacing w:before="360"/>
      </w:pPr>
      <w:r>
        <w:t xml:space="preserve">Sources and legal basis</w:t>
      </w:r>
    </w:p>
    <w:p>
      <w:pPr>
        <w:pStyle w:val="ListParagraph"/>
        <w:numPr>
          <w:ilvl w:val="0"/>
          <w:numId w:val="1"/>
        </w:numPr>
      </w:pPr>
      <w:r>
        <w:rPr>
          <w:sz w:val="16"/>
          <w:szCs w:val="16"/>
        </w:rPr>
        <w:t xml:space="preserve">HOAI, Annex 10 — No. 10.1, service phase 8, letter e: documentation of the construction process (e.g. site diary) —</w:t>
      </w:r>
      <w:hyperlink w:history="1" r:id="rIdeicrph1-u6isw_b4t-b7i">
        <w:r>
          <w:rPr>
            <w:rStyle w:val="Hyperlink"/>
            <w:sz w:val="16"/>
            <w:szCs w:val="16"/>
          </w:rPr>
          <w:t xml:space="preserve">https://www.gesetze-im-internet.de/hoai_2013/anlage_10.html</w:t>
        </w:r>
      </w:hyperlink>
    </w:p>
    <w:p>
      <w:pPr>
        <w:pStyle w:val="ListParagraph"/>
        <w:numPr>
          <w:ilvl w:val="0"/>
          <w:numId w:val="1"/>
        </w:numPr>
      </w:pPr>
      <w:r>
        <w:rPr>
          <w:sz w:val="16"/>
          <w:szCs w:val="16"/>
        </w:rPr>
        <w:t xml:space="preserve">VOB/B (2016 edition), official text of the BMWSB — § 4 (1) no. 3 (client's instructions), § 6 (1) (notice of disruption), § 15 (3) (daywork sheets) —</w:t>
      </w:r>
      <w:hyperlink w:history="1" r:id="rIdb_51lwmwvmqxsy7evv85z">
        <w:r>
          <w:rPr>
            <w:rStyle w:val="Hyperlink"/>
            <w:sz w:val="16"/>
            <w:szCs w:val="16"/>
          </w:rPr>
          <w:t xml:space="preserve">https://www.bmwsb.bund.de/SharedDocs/downloads/DE/veroeffentlichungen/bauen/vob-teil-b.pdf?__blob=publicationFile&amp;v=1</w:t>
        </w:r>
      </w:hyperlink>
    </w:p>
    <w:p>
      <w:pPr>
        <w:pStyle w:val="ListParagraph"/>
        <w:numPr>
          <w:ilvl w:val="0"/>
          <w:numId w:val="1"/>
        </w:numPr>
      </w:pPr>
      <w:r>
        <w:rPr>
          <w:sz w:val="16"/>
          <w:szCs w:val="16"/>
        </w:rPr>
        <w:t xml:space="preserve">§ 650b BGB — Modification of the contract; the client's right to issue instructions —</w:t>
      </w:r>
      <w:hyperlink w:history="1" r:id="rIdoxywqlo9h0dsgjtznddqj">
        <w:r>
          <w:rPr>
            <w:rStyle w:val="Hyperlink"/>
            <w:sz w:val="16"/>
            <w:szCs w:val="16"/>
          </w:rPr>
          <w:t xml:space="preserve">https://www.gesetze-im-internet.de/bgb/__650b.html</w:t>
        </w:r>
      </w:hyperlink>
    </w:p>
    <w:p>
      <w:pPr>
        <w:spacing w:before="160"/>
      </w:pPr>
      <w:r>
        <w:rPr>
          <w:color w:val="666666"/>
          <w:sz w:val="16"/>
          <w:szCs w:val="16"/>
        </w:rPr>
        <w:t xml:space="preserve">Legal framework: Germany (HOAI, VOB/B, BGB). Deviating contractual agreements take precedence. This working aid is no substitute for legal advice in the individual case.</w:t>
      </w:r>
    </w:p>
    <w:sectPr>
      <w:footerReference w:type="default" r:id="rId7"/>
      <w:pgSz w:w="11906" w:h="16838" w:orient="landscape"/>
      <w:pgMar w:top="794" w:right="850" w:bottom="907"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666666"/>
        <w:sz w:val="15"/>
        <w:szCs w:val="15"/>
      </w:rPr>
      <w:t xml:space="preserve">Open Experience GmbH · https://openexperience.de/en/wissen/bautagebuch-vorlage/ · Page </w:t>
    </w:r>
    <w:r>
      <w:rPr>
        <w:color w:val="666666"/>
        <w:sz w:val="15"/>
        <w:szCs w:val="15"/>
      </w:rPr>
      <w:fldChar w:fldCharType="begin"/>
      <w:instrText xml:space="preserve">PAGE</w:instrText>
      <w:fldChar w:fldCharType="separate"/>
      <w:fldChar w:fldCharType="end"/>
    </w:r>
    <w:r>
      <w:rPr>
        <w:color w:val="666666"/>
        <w:sz w:val="15"/>
        <w:szCs w:val="15"/>
      </w:rPr>
      <w:t xml:space="preserve"> of </w:t>
    </w:r>
    <w:r>
      <w:rPr>
        <w:color w:val="666666"/>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pPr>
    <w:rPr>
      <w:rFonts w:ascii="Arial" w:cs="Arial" w:eastAsia="Arial" w:hAnsi="Arial"/>
      <w:b/>
      <w:bCs/>
      <w:color w:val="1D1D1F"/>
      <w:sz w:val="34"/>
      <w:szCs w:val="34"/>
    </w:rPr>
  </w:style>
  <w:style w:type="paragraph" w:styleId="Heading2">
    <w:name w:val="Heading 2"/>
    <w:basedOn w:val="Normal"/>
    <w:next w:val="Normal"/>
    <w:qFormat/>
    <w:pPr>
      <w:spacing w:after="100" w:before="240"/>
    </w:pPr>
    <w:rPr>
      <w:rFonts w:ascii="Arial" w:cs="Arial" w:eastAsia="Arial" w:hAnsi="Arial"/>
      <w:b/>
      <w:bCs/>
      <w:color w:val="1D1D1F"/>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eicrph1-u6isw_b4t-b7i" Type="http://schemas.openxmlformats.org/officeDocument/2006/relationships/hyperlink" Target="https://www.gesetze-im-internet.de/hoai_2013/anlage_10.html" TargetMode="External"/><Relationship Id="rIdb_51lwmwvmqxsy7evv85z" Type="http://schemas.openxmlformats.org/officeDocument/2006/relationships/hyperlink" Target="https://www.bmwsb.bund.de/SharedDocs/downloads/DE/veroeffentlichungen/bauen/vob-teil-b.pdf?__blob=publicationFile&amp;v=1" TargetMode="External"/><Relationship Id="rIdoxywqlo9h0dsgjtznddqj" Type="http://schemas.openxmlformats.org/officeDocument/2006/relationships/hyperlink" Target="https://www.gesetze-im-internet.de/bgb/__650b.html"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diary template: the daily report that still holds up years later</dc:title>
  <dc:subject>site diary template</dc:subject>
  <dc:creator>Open Experience GmbH</dc:creator>
  <cp:keywords>site diary template</cp:keywords>
  <dc:description>Daily report template for the site diary with weather, staffing, work done, disruptions and instructions — plus three completed site days. Word and PDF, no sign-up.</dc:description>
  <cp:lastModifiedBy>Open Experience GmbH</cp:lastModifiedBy>
  <cp:revision>1</cp:revision>
  <dcterms:created xsi:type="dcterms:W3CDTF">2026-09-08T15:23:22.736Z</dcterms:created>
  <dcterms:modified xsi:type="dcterms:W3CDTF">2026-09-08T15:23:22.736Z</dcterms:modified>
</cp:coreProperties>
</file>

<file path=docProps/custom.xml><?xml version="1.0" encoding="utf-8"?>
<Properties xmlns="http://schemas.openxmlformats.org/officeDocument/2006/custom-properties" xmlns:vt="http://schemas.openxmlformats.org/officeDocument/2006/docPropsVTypes"/>
</file>