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Site diary template: the daily report that still holds up years later</w:t>
      </w:r>
    </w:p>
    <w:p>
      <w:pPr>
        <w:spacing w:after="240"/>
      </w:pPr>
      <w:r>
        <w:rPr>
          <w:color w:val="666666"/>
          <w:sz w:val="16"/>
          <w:szCs w:val="16"/>
        </w:rPr>
        <w:t xml:space="preserve">Open Experience GmbH · Last updated: 8 September 2026 · Online version with explanations: https://openexperience.de/en/wissen/bautagebuch-vorlage/</w:t>
      </w:r>
    </w:p>
    <w:p>
      <w:pPr>
        <w:spacing w:after="200"/>
      </w:pPr>
      <w:r>
        <w:t xml:space="preserve">A daily report records for each site day: date and weather, companies present with headcount, work carried out with location, equipment in use, deliveries with delivery note number, inspections and meetings, disruptions and stoppages with times, instructions and decisions with addressee and deadline, plus special incidents and the numbers of the day's photos. What matters is not the fields but three properties: kept continuously, written promptly and linked to photos and attachments. A diary reconstructed weeks later loses its evidential value — that is exactly what courts and experts check first.</w:t>
      </w:r>
    </w:p>
    <w:p>
      <w:pPr>
        <w:pStyle w:val="Heading2"/>
      </w:pPr>
      <w:r>
        <w:t xml:space="preserve">Notes on use</w:t>
      </w:r>
    </w:p>
    <w:p>
      <w:pPr>
        <w:pStyle w:val="ListParagraph"/>
        <w:numPr>
          <w:ilvl w:val="0"/>
          <w:numId w:val="1"/>
        </w:numPr>
      </w:pPr>
      <w:r>
        <w:rPr>
          <w:b/>
          <w:bCs/>
        </w:rPr>
        <w:t xml:space="preserve">Every site day, on the same day:</w:t>
      </w:r>
      <w:r>
        <w:t xml:space="preserve">The report is written on site or immediately afterwards — not on Friday for the whole week. The date of creation is the most important proof of continuity.</w:t>
      </w:r>
    </w:p>
    <w:p>
      <w:pPr>
        <w:pStyle w:val="ListParagraph"/>
        <w:numPr>
          <w:ilvl w:val="0"/>
          <w:numId w:val="1"/>
        </w:numPr>
      </w:pPr>
      <w:r>
        <w:rPr>
          <w:b/>
          <w:bCs/>
        </w:rPr>
        <w:t xml:space="preserve">Facts, not judgements:</w:t>
      </w:r>
      <w:r>
        <w:t xml:space="preserve">"Window sash does not close, gasket crushed" instead of "window installed defectively". What was visible, when and where — causes and blame do not belong in the diary.</w:t>
      </w:r>
    </w:p>
    <w:p>
      <w:pPr>
        <w:pStyle w:val="ListParagraph"/>
        <w:numPr>
          <w:ilvl w:val="0"/>
          <w:numId w:val="1"/>
        </w:numPr>
      </w:pPr>
      <w:r>
        <w:rPr>
          <w:b/>
          <w:bCs/>
        </w:rPr>
        <w:t xml:space="preserve">Times for everything that triggers deadlines:</w:t>
      </w:r>
      <w:r>
        <w:t xml:space="preserve">Disruptions, instructions, deliveries, accidents: the time is what turns the entry into evidence later. A disruption without start and end can hardly be quantified.</w:t>
      </w:r>
    </w:p>
    <w:p>
      <w:pPr>
        <w:pStyle w:val="ListParagraph"/>
        <w:numPr>
          <w:ilvl w:val="0"/>
          <w:numId w:val="1"/>
        </w:numPr>
      </w:pPr>
      <w:r>
        <w:rPr>
          <w:b/>
          <w:bCs/>
        </w:rPr>
        <w:t xml:space="preserve">Number the photos and cite them:</w:t>
      </w:r>
      <w:r>
        <w:t xml:space="preserve">Every entry that has a photo cites its number. That keeps the report tied to the image archive — even when both are searched for separately in five years' time.</w:t>
      </w:r>
    </w:p>
    <w:p>
      <w:pPr>
        <w:pStyle w:val="ListParagraph"/>
        <w:numPr>
          <w:ilvl w:val="0"/>
          <w:numId w:val="1"/>
        </w:numPr>
      </w:pPr>
      <w:r>
        <w:rPr>
          <w:b/>
          <w:bCs/>
        </w:rPr>
        <w:t xml:space="preserve">Keep internal and external apart:</w:t>
      </w:r>
      <w:r>
        <w:t xml:space="preserve">Cost assessments, queries to specialist designers and your own judgements belong in the internal part. The external version for the client contains facts. The template has a marker per report for this; anyone keeping both in one form marks internal lines with "(i)".</w:t>
      </w:r>
    </w:p>
    <w:p>
      <w:pPr>
        <w:pBdr>
          <w:left w:val="single" w:color="EE7F00" w:sz="18" w:space="8"/>
        </w:pBdr>
        <w:spacing w:after="160" w:before="160"/>
      </w:pPr>
      <w:r>
        <w:rPr>
          <w:i/>
          <w:iCs/>
        </w:rPr>
        <w:t xml:space="preserve">Continuous, prompt, linked — these three properties separate a piece of evidence from a recollection.</w:t>
      </w:r>
    </w:p>
    <w:p>
      <w:pPr>
        <w:spacing w:after="200" w:before="120"/>
      </w:pPr>
      <w:r>
        <w:rPr>
          <w:i/>
          <w:iCs/>
        </w:rPr>
        <w:t xml:space="preserve">Tick the boxes marked ☐; the grey hints in the fields say what belongs there and are overwritten.</w:t>
      </w:r>
    </w:p>
    <w:p>
      <w:pPr>
        <w:pBdr>
          <w:top w:val="single" w:color="BBBBBB" w:sz="4" w:space="6"/>
          <w:bottom w:val="single" w:color="BBBBBB" w:sz="4" w:space="6"/>
          <w:left w:val="single" w:color="BBBBBB" w:sz="4" w:space="6"/>
          <w:right w:val="single" w:color="BBBBBB" w:sz="4" w:space="6"/>
        </w:pBdr>
        <w:spacing w:after="200"/>
      </w:pPr>
      <w:r>
        <w:rPr>
          <w:b/>
          <w:bCs/>
          <w:sz w:val="17"/>
          <w:szCs w:val="17"/>
        </w:rPr>
        <w:t xml:space="preserve">Disclaimer:</w:t>
      </w:r>
      <w:r>
        <w:rPr>
          <w:color w:val="444444"/>
          <w:sz w:val="17"/>
          <w:szCs w:val="17"/>
        </w:rPr>
        <w:t xml:space="preserve">Non-binding sample, not legal advice. Which sections your contract requires is set out in the contract; notices of disruption and instructions do not replace the diary — they are only documented in it. Legal basis: Germany.</w:t>
      </w:r>
    </w:p>
    <w:p>
      <w:pPr>
        <w:pStyle w:val="Heading2"/>
        <w:spacing w:before="360"/>
      </w:pPr>
      <w:r>
        <w:t xml:space="preserve">Sources and legal basis</w:t>
      </w:r>
    </w:p>
    <w:p>
      <w:pPr>
        <w:pStyle w:val="ListParagraph"/>
        <w:numPr>
          <w:ilvl w:val="0"/>
          <w:numId w:val="1"/>
        </w:numPr>
      </w:pPr>
      <w:r>
        <w:rPr>
          <w:sz w:val="16"/>
          <w:szCs w:val="16"/>
        </w:rPr>
        <w:t xml:space="preserve">HOAI, Annex 10 — No. 10.1, service phase 8, letter e: documentation of the construction process (e.g. site diary) —</w:t>
      </w:r>
      <w:hyperlink w:history="1" r:id="rId114j2mtuyrjzyvfpkevhw">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VOB/B (2016 edition), official text of the BMWSB — § 4 (1) no. 3 (client's instructions), § 6 (1) (notice of disruption), § 15 (3) (daywork sheets) —</w:t>
      </w:r>
      <w:hyperlink w:history="1" r:id="rIdfaekxq9-dirrpi6a3cjng">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650b BGB — Modification of the contract; the client's right to issue instructions —</w:t>
      </w:r>
      <w:hyperlink w:history="1" r:id="rIdodk0-xm4bzaybyuzzt-yh">
        <w:r>
          <w:rPr>
            <w:rStyle w:val="Hyperlink"/>
            <w:sz w:val="16"/>
            <w:szCs w:val="16"/>
          </w:rPr>
          <w:t xml:space="preserve">https://www.gesetze-im-internet.de/bgb/__650b.html</w:t>
        </w:r>
      </w:hyperlink>
    </w:p>
    <w:p>
      <w:pPr>
        <w:spacing w:before="160"/>
      </w:pPr>
      <w:r>
        <w:rPr>
          <w:color w:val="666666"/>
          <w:sz w:val="16"/>
          <w:szCs w:val="16"/>
        </w:rPr>
        <w:t xml:space="preserve">Legal framework: Germany (HOAI, VOB/B, BGB). Deviating contractual agreements take precedence. This working aid is no substitute for legal advice in the individual case.</w:t>
      </w:r>
    </w:p>
    <w:p>
      <w:pPr>
        <w:pStyle w:val="Heading2"/>
        <w:pageBreakBefore/>
      </w:pPr>
      <w:r>
        <w:t xml:space="preserve">Part 1 — Header of the daily report</w:t>
      </w:r>
    </w:p>
    <w:p>
      <w:pPr>
        <w:spacing w:after="160"/>
      </w:pPr>
      <w:r>
        <w:rPr>
          <w:color w:val="444444"/>
          <w:sz w:val="17"/>
          <w:szCs w:val="17"/>
        </w:rPr>
        <w:t xml:space="preserve">Assigns the report to the project and the day. The consecutive number reveals gaps immediately.</w:t>
      </w:r>
    </w:p>
    <w:p>
      <w:pPr>
        <w:keepNext/>
        <w:spacing w:after="30" w:before="160"/>
      </w:pPr>
      <w:r>
        <w:rPr>
          <w:color w:val="666666"/>
          <w:spacing w:val="20"/>
          <w:sz w:val="14"/>
          <w:szCs w:val="14"/>
        </w:rPr>
        <w:t xml:space="preserve">PROJECT</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address, project number]</w:t>
      </w:r>
    </w:p>
    <w:p>
      <w:pPr>
        <w:keepNext/>
        <w:spacing w:after="30" w:before="160"/>
      </w:pPr>
      <w:r>
        <w:rPr>
          <w:color w:val="666666"/>
          <w:spacing w:val="20"/>
          <w:sz w:val="14"/>
          <w:szCs w:val="14"/>
        </w:rPr>
        <w:t xml:space="preserve">SITE DAY</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No. </w:t>
      </w:r>
      <w:r>
        <w:rPr>
          <w:color w:val="777777"/>
          <w:sz w:val="17"/>
          <w:szCs w:val="17"/>
          <w:shd w:fill="EFEFEF" w:color="auto" w:val="clear"/>
        </w:rPr>
        <w:t xml:space="preserve">[consecutive]</w:t>
      </w:r>
      <w:r>
        <w:rPr>
          <w:color w:val="777777"/>
          <w:sz w:val="17"/>
          <w:szCs w:val="17"/>
        </w:rPr>
        <w:t xml:space="preserve"> — </w:t>
      </w:r>
      <w:r>
        <w:rPr>
          <w:color w:val="777777"/>
          <w:sz w:val="17"/>
          <w:szCs w:val="17"/>
          <w:shd w:fill="EFEFEF" w:color="auto" w:val="clear"/>
        </w:rPr>
        <w:t xml:space="preserve">[weekday]</w:t>
      </w:r>
      <w:r>
        <w:rPr>
          <w:color w:val="777777"/>
          <w:sz w:val="17"/>
          <w:szCs w:val="17"/>
        </w:rPr>
        <w:t xml:space="preserve">, </w:t>
      </w:r>
      <w:r>
        <w:rPr>
          <w:color w:val="777777"/>
          <w:sz w:val="17"/>
          <w:szCs w:val="17"/>
          <w:shd w:fill="EFEFEF" w:color="auto" w:val="clear"/>
        </w:rPr>
        <w:t xml:space="preserve">[date]</w:t>
      </w:r>
      <w:r>
        <w:rPr>
          <w:color w:val="777777"/>
          <w:sz w:val="17"/>
          <w:szCs w:val="17"/>
        </w:rPr>
        <w:t xml:space="preserve">; working hours on site from </w:t>
      </w:r>
      <w:r>
        <w:rPr>
          <w:color w:val="777777"/>
          <w:sz w:val="17"/>
          <w:szCs w:val="17"/>
          <w:shd w:fill="EFEFEF" w:color="auto" w:val="clear"/>
        </w:rPr>
        <w:t xml:space="preserve">[time]</w:t>
      </w:r>
      <w:r>
        <w:rPr>
          <w:color w:val="777777"/>
          <w:sz w:val="17"/>
          <w:szCs w:val="17"/>
        </w:rPr>
        <w:t xml:space="preserve"> to </w:t>
      </w:r>
      <w:r>
        <w:rPr>
          <w:color w:val="777777"/>
          <w:sz w:val="17"/>
          <w:szCs w:val="17"/>
          <w:shd w:fill="EFEFEF" w:color="auto" w:val="clear"/>
        </w:rPr>
        <w:t xml:space="preserve">[time]</w:t>
      </w:r>
    </w:p>
    <w:p>
      <w:pPr>
        <w:keepNext/>
        <w:spacing w:after="30" w:before="160"/>
      </w:pPr>
      <w:r>
        <w:rPr>
          <w:color w:val="666666"/>
          <w:spacing w:val="20"/>
          <w:sz w:val="14"/>
          <w:szCs w:val="14"/>
        </w:rPr>
        <w:t xml:space="preserve">REPORT TYPE</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Daily report (all trades) ☐ Partial report trade </w:t>
      </w:r>
      <w:r>
        <w:rPr>
          <w:color w:val="777777"/>
          <w:sz w:val="17"/>
          <w:szCs w:val="17"/>
          <w:shd w:fill="EFEFEF" w:color="auto" w:val="clear"/>
        </w:rPr>
        <w:t xml:space="preserve">[trade]</w:t>
      </w:r>
      <w:r>
        <w:rPr>
          <w:color w:val="777777"/>
          <w:sz w:val="17"/>
          <w:szCs w:val="17"/>
        </w:rPr>
        <w:t xml:space="preserve"> ☐ Subcontractor report </w:t>
      </w:r>
      <w:r>
        <w:rPr>
          <w:color w:val="777777"/>
          <w:sz w:val="17"/>
          <w:szCs w:val="17"/>
          <w:shd w:fill="EFEFEF" w:color="auto" w:val="clear"/>
        </w:rPr>
        <w:t xml:space="preserve">[company]</w:t>
      </w:r>
    </w:p>
    <w:p>
      <w:pPr>
        <w:keepNext/>
        <w:spacing w:after="30" w:before="160"/>
      </w:pPr>
      <w:r>
        <w:rPr>
          <w:color w:val="666666"/>
          <w:spacing w:val="20"/>
          <w:sz w:val="14"/>
          <w:szCs w:val="14"/>
        </w:rPr>
        <w:t xml:space="preserve">VERSION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internal (with assessments and queries) ☐ external (version for the client) — version </w:t>
      </w:r>
      <w:r>
        <w:rPr>
          <w:color w:val="777777"/>
          <w:sz w:val="17"/>
          <w:szCs w:val="17"/>
          <w:shd w:fill="EFEFEF" w:color="auto" w:val="clear"/>
        </w:rPr>
        <w:t xml:space="preserve">[no.]</w:t>
      </w:r>
      <w:r>
        <w:rPr>
          <w:color w:val="777777"/>
          <w:sz w:val="17"/>
          <w:szCs w:val="17"/>
        </w:rPr>
        <w:t xml:space="preserve">, as of </w:t>
      </w:r>
      <w:r>
        <w:rPr>
          <w:color w:val="777777"/>
          <w:sz w:val="17"/>
          <w:szCs w:val="17"/>
          <w:shd w:fill="EFEFEF" w:color="auto" w:val="clear"/>
        </w:rPr>
        <w:t xml:space="preserve">[date, time]</w:t>
      </w:r>
    </w:p>
    <w:p>
      <w:pPr>
        <w:keepNext/>
        <w:spacing w:after="30" w:before="160"/>
      </w:pPr>
      <w:r>
        <w:rPr>
          <w:color w:val="666666"/>
          <w:spacing w:val="20"/>
          <w:sz w:val="14"/>
          <w:szCs w:val="14"/>
        </w:rPr>
        <w:t xml:space="preserve">PREPARED BY</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function, e.g. site supervision / contractor's site manager]</w:t>
      </w:r>
    </w:p>
    <w:p>
      <w:pPr>
        <w:pStyle w:val="Heading2"/>
      </w:pPr>
      <w:r>
        <w:t xml:space="preserve">Part 2 — Weather</w:t>
      </w:r>
    </w:p>
    <w:p>
      <w:pPr>
        <w:spacing w:after="160"/>
      </w:pPr>
      <w:r>
        <w:rPr>
          <w:color w:val="444444"/>
          <w:sz w:val="17"/>
          <w:szCs w:val="17"/>
        </w:rPr>
        <w:t xml:space="preserve">The weather explains progress and disruptions. Measured values beat impressions; an official weather source as an attachment is worth its weight in gold in a dispute.</w:t>
      </w:r>
    </w:p>
    <w:p>
      <w:pPr>
        <w:keepNext/>
        <w:spacing w:after="30" w:before="160"/>
      </w:pPr>
      <w:r>
        <w:rPr>
          <w:color w:val="666666"/>
          <w:spacing w:val="20"/>
          <w:sz w:val="14"/>
          <w:szCs w:val="14"/>
        </w:rPr>
        <w:t xml:space="preserve">TEMPERATURE</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morning </w:t>
      </w:r>
      <w:r>
        <w:rPr>
          <w:color w:val="777777"/>
          <w:sz w:val="17"/>
          <w:szCs w:val="17"/>
          <w:shd w:fill="EFEFEF" w:color="auto" w:val="clear"/>
        </w:rPr>
        <w:t xml:space="preserve">[°C]</w:t>
      </w:r>
      <w:r>
        <w:rPr>
          <w:color w:val="777777"/>
          <w:sz w:val="17"/>
          <w:szCs w:val="17"/>
        </w:rPr>
        <w:t xml:space="preserve"> · midday </w:t>
      </w:r>
      <w:r>
        <w:rPr>
          <w:color w:val="777777"/>
          <w:sz w:val="17"/>
          <w:szCs w:val="17"/>
          <w:shd w:fill="EFEFEF" w:color="auto" w:val="clear"/>
        </w:rPr>
        <w:t xml:space="preserve">[°C]</w:t>
      </w:r>
      <w:r>
        <w:rPr>
          <w:color w:val="777777"/>
          <w:sz w:val="17"/>
          <w:szCs w:val="17"/>
        </w:rPr>
        <w:t xml:space="preserve"> · afternoon </w:t>
      </w:r>
      <w:r>
        <w:rPr>
          <w:color w:val="777777"/>
          <w:sz w:val="17"/>
          <w:szCs w:val="17"/>
          <w:shd w:fill="EFEFEF" w:color="auto" w:val="clear"/>
        </w:rPr>
        <w:t xml:space="preserve">[°C]</w:t>
      </w:r>
      <w:r>
        <w:rPr>
          <w:color w:val="777777"/>
          <w:sz w:val="17"/>
          <w:szCs w:val="17"/>
        </w:rPr>
        <w:t xml:space="preserve"> (source: ☐ on-site measurement ☐ weather service </w:t>
      </w:r>
      <w:r>
        <w:rPr>
          <w:color w:val="777777"/>
          <w:sz w:val="17"/>
          <w:szCs w:val="17"/>
          <w:shd w:fill="EFEFEF" w:color="auto" w:val="clear"/>
        </w:rPr>
        <w:t xml:space="preserve">[name]</w:t>
      </w:r>
      <w:r>
        <w:rPr>
          <w:color w:val="777777"/>
          <w:sz w:val="17"/>
          <w:szCs w:val="17"/>
        </w:rPr>
        <w:t xml:space="preserve">)</w:t>
      </w:r>
    </w:p>
    <w:p>
      <w:pPr>
        <w:keepNext/>
        <w:spacing w:after="30" w:before="160"/>
      </w:pPr>
      <w:r>
        <w:rPr>
          <w:color w:val="666666"/>
          <w:spacing w:val="20"/>
          <w:sz w:val="14"/>
          <w:szCs w:val="14"/>
        </w:rPr>
        <w:t xml:space="preserve">PRECIPITATION AND WIND</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dry ☐ rain from </w:t>
      </w:r>
      <w:r>
        <w:rPr>
          <w:color w:val="777777"/>
          <w:sz w:val="17"/>
          <w:szCs w:val="17"/>
          <w:shd w:fill="EFEFEF" w:color="auto" w:val="clear"/>
        </w:rPr>
        <w:t xml:space="preserve">[time]</w:t>
      </w:r>
      <w:r>
        <w:rPr>
          <w:color w:val="777777"/>
          <w:sz w:val="17"/>
          <w:szCs w:val="17"/>
        </w:rPr>
        <w:t xml:space="preserve"> to </w:t>
      </w:r>
      <w:r>
        <w:rPr>
          <w:color w:val="777777"/>
          <w:sz w:val="17"/>
          <w:szCs w:val="17"/>
          <w:shd w:fill="EFEFEF" w:color="auto" w:val="clear"/>
        </w:rPr>
        <w:t xml:space="preserve">[time]</w:t>
      </w:r>
      <w:r>
        <w:rPr>
          <w:color w:val="777777"/>
          <w:sz w:val="17"/>
          <w:szCs w:val="17"/>
        </w:rPr>
        <w:t xml:space="preserve"> ☐ snow ☐ frost ☐ storm/wind </w:t>
      </w:r>
      <w:r>
        <w:rPr>
          <w:color w:val="777777"/>
          <w:sz w:val="17"/>
          <w:szCs w:val="17"/>
          <w:shd w:fill="EFEFEF" w:color="auto" w:val="clear"/>
        </w:rPr>
        <w:t xml:space="preserve">[force]</w:t>
      </w:r>
    </w:p>
    <w:p>
      <w:pPr>
        <w:keepNext/>
        <w:spacing w:after="30" w:before="160"/>
      </w:pPr>
      <w:r>
        <w:rPr>
          <w:color w:val="666666"/>
          <w:spacing w:val="20"/>
          <w:sz w:val="14"/>
          <w:szCs w:val="14"/>
        </w:rPr>
        <w:t xml:space="preserve">EFFECT ON THE WORKS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[Which works were stopped or restricted, from when, with what reasoning — reference to Part 7 if a disruption was notified]</w:t>
      </w:r>
    </w:p>
    <w:p>
      <w:pPr>
        <w:pStyle w:val="Heading2"/>
      </w:pPr>
      <w:r>
        <w:t xml:space="preserve">Part 3 — Site staffing</w:t>
      </w:r>
    </w:p>
    <w:p>
      <w:pPr>
        <w:spacing w:after="160"/>
      </w:pPr>
      <w:r>
        <w:rPr>
          <w:color w:val="444444"/>
          <w:sz w:val="17"/>
          <w:szCs w:val="17"/>
        </w:rPr>
        <w:t xml:space="preserve">Who was there with how many people? Headcount later substantiates progress, the consequences of disruptions and daywork.</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Company / trade</w:t>
            </w:r>
          </w:p>
        </w:tc>
        <w:tc>
          <w:tcPr>
            <w:tcW w:type="dxa" w:w="2188"/>
            <w:shd w:fill="F2F2F2" w:color="auto" w:val="clear"/>
            <w:tcMar>
              <w:top w:type="dxa" w:w="60"/>
              <w:left w:type="dxa" w:w="90"/>
              <w:bottom w:type="dxa" w:w="60"/>
              <w:right w:type="dxa" w:w="90"/>
            </w:tcMar>
          </w:tcPr>
          <w:p>
            <w:r>
              <w:rPr>
                <w:b/>
                <w:bCs/>
                <w:sz w:val="15"/>
                <w:szCs w:val="15"/>
              </w:rPr>
              <w:t xml:space="preserve">Persons</w:t>
            </w:r>
          </w:p>
        </w:tc>
        <w:tc>
          <w:tcPr>
            <w:tcW w:type="dxa" w:w="2188"/>
            <w:shd w:fill="F2F2F2" w:color="auto" w:val="clear"/>
            <w:tcMar>
              <w:top w:type="dxa" w:w="60"/>
              <w:left w:type="dxa" w:w="90"/>
              <w:bottom w:type="dxa" w:w="60"/>
              <w:right w:type="dxa" w:w="90"/>
            </w:tcMar>
          </w:tcPr>
          <w:p>
            <w:r>
              <w:rPr>
                <w:b/>
                <w:bCs/>
                <w:sz w:val="15"/>
                <w:szCs w:val="15"/>
              </w:rPr>
              <w:t xml:space="preserve">of which supervisors (foreman, chargehand)</w:t>
            </w:r>
          </w:p>
        </w:tc>
        <w:tc>
          <w:tcPr>
            <w:tcW w:type="dxa" w:w="2188"/>
            <w:shd w:fill="F2F2F2" w:color="auto" w:val="clear"/>
            <w:tcMar>
              <w:top w:type="dxa" w:w="60"/>
              <w:left w:type="dxa" w:w="90"/>
              <w:bottom w:type="dxa" w:w="60"/>
              <w:right w:type="dxa" w:w="90"/>
            </w:tcMar>
          </w:tcPr>
          <w:p>
            <w:r>
              <w:rPr>
                <w:b/>
                <w:bCs/>
                <w:sz w:val="15"/>
                <w:szCs w:val="15"/>
              </w:rPr>
              <w:t xml:space="preserve">Activity / work location</w:t>
            </w:r>
          </w:p>
        </w:tc>
        <w:tc>
          <w:tcPr>
            <w:tcW w:type="dxa" w:w="2188"/>
            <w:shd w:fill="F2F2F2" w:color="auto" w:val="clear"/>
            <w:tcMar>
              <w:top w:type="dxa" w:w="60"/>
              <w:left w:type="dxa" w:w="90"/>
              <w:bottom w:type="dxa" w:w="60"/>
              <w:right w:type="dxa" w:w="90"/>
            </w:tcMar>
          </w:tcPr>
          <w:p>
            <w:r>
              <w:rPr>
                <w:b/>
                <w:bCs/>
                <w:sz w:val="15"/>
                <w:szCs w:val="15"/>
              </w:rPr>
              <w:t xml:space="preserve">Remark</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4 — Inspections and meetings</w:t>
      </w:r>
    </w:p>
    <w:p>
      <w:pPr>
        <w:spacing w:after="160"/>
      </w:pPr>
      <w:r>
        <w:rPr>
          <w:color w:val="444444"/>
          <w:sz w:val="17"/>
          <w:szCs w:val="17"/>
        </w:rPr>
        <w:t xml:space="preserve">Every inspection with time, participants in their role and the outcome. Approvals before elements are closed up belong here — with photo number.</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Time</w:t>
            </w:r>
          </w:p>
        </w:tc>
        <w:tc>
          <w:tcPr>
            <w:tcW w:type="dxa" w:w="2188"/>
            <w:shd w:fill="F2F2F2" w:color="auto" w:val="clear"/>
            <w:tcMar>
              <w:top w:type="dxa" w:w="60"/>
              <w:left w:type="dxa" w:w="90"/>
              <w:bottom w:type="dxa" w:w="60"/>
              <w:right w:type="dxa" w:w="90"/>
            </w:tcMar>
          </w:tcPr>
          <w:p>
            <w:r>
              <w:rPr>
                <w:b/>
                <w:bCs/>
                <w:sz w:val="15"/>
                <w:szCs w:val="15"/>
              </w:rPr>
              <w:t xml:space="preserve">Occasion</w:t>
            </w:r>
          </w:p>
        </w:tc>
        <w:tc>
          <w:tcPr>
            <w:tcW w:type="dxa" w:w="2188"/>
            <w:shd w:fill="F2F2F2" w:color="auto" w:val="clear"/>
            <w:tcMar>
              <w:top w:type="dxa" w:w="60"/>
              <w:left w:type="dxa" w:w="90"/>
              <w:bottom w:type="dxa" w:w="60"/>
              <w:right w:type="dxa" w:w="90"/>
            </w:tcMar>
          </w:tcPr>
          <w:p>
            <w:r>
              <w:rPr>
                <w:b/>
                <w:bCs/>
                <w:sz w:val="15"/>
                <w:szCs w:val="15"/>
              </w:rPr>
              <w:t xml:space="preserve">Participants (role)</w:t>
            </w:r>
          </w:p>
        </w:tc>
        <w:tc>
          <w:tcPr>
            <w:tcW w:type="dxa" w:w="2188"/>
            <w:shd w:fill="F2F2F2" w:color="auto" w:val="clear"/>
            <w:tcMar>
              <w:top w:type="dxa" w:w="60"/>
              <w:left w:type="dxa" w:w="90"/>
              <w:bottom w:type="dxa" w:w="60"/>
              <w:right w:type="dxa" w:w="90"/>
            </w:tcMar>
          </w:tcPr>
          <w:p>
            <w:r>
              <w:rPr>
                <w:b/>
                <w:bCs/>
                <w:sz w:val="15"/>
                <w:szCs w:val="15"/>
              </w:rPr>
              <w:t xml:space="preserve">Outcome / approval</w:t>
            </w:r>
          </w:p>
        </w:tc>
        <w:tc>
          <w:tcPr>
            <w:tcW w:type="dxa" w:w="2188"/>
            <w:shd w:fill="F2F2F2" w:color="auto" w:val="clear"/>
            <w:tcMar>
              <w:top w:type="dxa" w:w="60"/>
              <w:left w:type="dxa" w:w="90"/>
              <w:bottom w:type="dxa" w:w="60"/>
              <w:right w:type="dxa" w:w="90"/>
            </w:tcMar>
          </w:tcPr>
          <w:p>
            <w:r>
              <w:rPr>
                <w:b/>
                <w:bCs/>
                <w:sz w:val="15"/>
                <w:szCs w:val="15"/>
              </w:rPr>
              <w:t xml:space="preserve">Photo no.</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5 — Work done today</w:t>
      </w:r>
    </w:p>
    <w:p>
      <w:pPr>
        <w:spacing w:after="160"/>
      </w:pPr>
      <w:r>
        <w:rPr>
          <w:color w:val="444444"/>
          <w:sz w:val="17"/>
          <w:szCs w:val="17"/>
        </w:rPr>
        <w:t xml:space="preserve">What was carried out today and where? With location and quantity, the state of progress can later be traced day by day — the basis of every discussion about construction time.</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Trade</w:t>
            </w:r>
          </w:p>
        </w:tc>
        <w:tc>
          <w:tcPr>
            <w:tcW w:type="dxa" w:w="2188"/>
            <w:shd w:fill="F2F2F2" w:color="auto" w:val="clear"/>
            <w:tcMar>
              <w:top w:type="dxa" w:w="60"/>
              <w:left w:type="dxa" w:w="90"/>
              <w:bottom w:type="dxa" w:w="60"/>
              <w:right w:type="dxa" w:w="90"/>
            </w:tcMar>
          </w:tcPr>
          <w:p>
            <w:r>
              <w:rPr>
                <w:b/>
                <w:bCs/>
                <w:sz w:val="15"/>
                <w:szCs w:val="15"/>
              </w:rPr>
              <w:t xml:space="preserve">Work</w:t>
            </w:r>
          </w:p>
        </w:tc>
        <w:tc>
          <w:tcPr>
            <w:tcW w:type="dxa" w:w="2188"/>
            <w:shd w:fill="F2F2F2" w:color="auto" w:val="clear"/>
            <w:tcMar>
              <w:top w:type="dxa" w:w="60"/>
              <w:left w:type="dxa" w:w="90"/>
              <w:bottom w:type="dxa" w:w="60"/>
              <w:right w:type="dxa" w:w="90"/>
            </w:tcMar>
          </w:tcPr>
          <w:p>
            <w:r>
              <w:rPr>
                <w:b/>
                <w:bCs/>
                <w:sz w:val="15"/>
                <w:szCs w:val="15"/>
              </w:rPr>
              <w:t xml:space="preserve">Location / element / grid line</w:t>
            </w:r>
          </w:p>
        </w:tc>
        <w:tc>
          <w:tcPr>
            <w:tcW w:type="dxa" w:w="2188"/>
            <w:shd w:fill="F2F2F2" w:color="auto" w:val="clear"/>
            <w:tcMar>
              <w:top w:type="dxa" w:w="60"/>
              <w:left w:type="dxa" w:w="90"/>
              <w:bottom w:type="dxa" w:w="60"/>
              <w:right w:type="dxa" w:w="90"/>
            </w:tcMar>
          </w:tcPr>
          <w:p>
            <w:r>
              <w:rPr>
                <w:b/>
                <w:bCs/>
                <w:sz w:val="15"/>
                <w:szCs w:val="15"/>
              </w:rPr>
              <w:t xml:space="preserve">Quantity</w:t>
            </w:r>
          </w:p>
        </w:tc>
        <w:tc>
          <w:tcPr>
            <w:tcW w:type="dxa" w:w="2188"/>
            <w:shd w:fill="F2F2F2" w:color="auto" w:val="clear"/>
            <w:tcMar>
              <w:top w:type="dxa" w:w="60"/>
              <w:left w:type="dxa" w:w="90"/>
              <w:bottom w:type="dxa" w:w="60"/>
              <w:right w:type="dxa" w:w="90"/>
            </w:tcMar>
          </w:tcPr>
          <w:p>
            <w:r>
              <w:rPr>
                <w:b/>
                <w:bCs/>
                <w:sz w:val="15"/>
                <w:szCs w:val="15"/>
              </w:rPr>
              <w:t xml:space="preserve">Remark</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6 — Equipment and deliveries</w:t>
      </w:r>
    </w:p>
    <w:p>
      <w:pPr>
        <w:spacing w:after="160"/>
      </w:pPr>
      <w:r>
        <w:rPr>
          <w:color w:val="444444"/>
          <w:sz w:val="17"/>
          <w:szCs w:val="17"/>
        </w:rPr>
        <w:t xml:space="preserve">Major plant with operating time, deliveries with time and delivery note number. Both substantiate the construction sequence, standstills and quantities.</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Type</w:t>
            </w:r>
          </w:p>
        </w:tc>
        <w:tc>
          <w:tcPr>
            <w:tcW w:type="dxa" w:w="2188"/>
            <w:shd w:fill="F2F2F2" w:color="auto" w:val="clear"/>
            <w:tcMar>
              <w:top w:type="dxa" w:w="60"/>
              <w:left w:type="dxa" w:w="90"/>
              <w:bottom w:type="dxa" w:w="60"/>
              <w:right w:type="dxa" w:w="90"/>
            </w:tcMar>
          </w:tcPr>
          <w:p>
            <w:r>
              <w:rPr>
                <w:b/>
                <w:bCs/>
                <w:sz w:val="15"/>
                <w:szCs w:val="15"/>
              </w:rPr>
              <w:t xml:space="preserve">Description</w:t>
            </w:r>
          </w:p>
        </w:tc>
        <w:tc>
          <w:tcPr>
            <w:tcW w:type="dxa" w:w="2188"/>
            <w:shd w:fill="F2F2F2" w:color="auto" w:val="clear"/>
            <w:tcMar>
              <w:top w:type="dxa" w:w="60"/>
              <w:left w:type="dxa" w:w="90"/>
              <w:bottom w:type="dxa" w:w="60"/>
              <w:right w:type="dxa" w:w="90"/>
            </w:tcMar>
          </w:tcPr>
          <w:p>
            <w:r>
              <w:rPr>
                <w:b/>
                <w:bCs/>
                <w:sz w:val="15"/>
                <w:szCs w:val="15"/>
              </w:rPr>
              <w:t xml:space="preserve">Number / quantity</w:t>
            </w:r>
          </w:p>
        </w:tc>
        <w:tc>
          <w:tcPr>
            <w:tcW w:type="dxa" w:w="2188"/>
            <w:shd w:fill="F2F2F2" w:color="auto" w:val="clear"/>
            <w:tcMar>
              <w:top w:type="dxa" w:w="60"/>
              <w:left w:type="dxa" w:w="90"/>
              <w:bottom w:type="dxa" w:w="60"/>
              <w:right w:type="dxa" w:w="90"/>
            </w:tcMar>
          </w:tcPr>
          <w:p>
            <w:r>
              <w:rPr>
                <w:b/>
                <w:bCs/>
                <w:sz w:val="15"/>
                <w:szCs w:val="15"/>
              </w:rPr>
              <w:t xml:space="preserve">Time or operation from–to</w:t>
            </w:r>
          </w:p>
        </w:tc>
        <w:tc>
          <w:tcPr>
            <w:tcW w:type="dxa" w:w="2188"/>
            <w:shd w:fill="F2F2F2" w:color="auto" w:val="clear"/>
            <w:tcMar>
              <w:top w:type="dxa" w:w="60"/>
              <w:left w:type="dxa" w:w="90"/>
              <w:bottom w:type="dxa" w:w="60"/>
              <w:right w:type="dxa" w:w="90"/>
            </w:tcMar>
          </w:tcPr>
          <w:p>
            <w:r>
              <w:rPr>
                <w:b/>
                <w:bCs/>
                <w:sz w:val="15"/>
                <w:szCs w:val="15"/>
              </w:rPr>
              <w:t xml:space="preserve">Delivery note no. / remark</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7 — Disruptions and stoppages</w:t>
      </w:r>
    </w:p>
    <w:p>
      <w:pPr>
        <w:spacing w:after="160"/>
      </w:pPr>
      <w:r>
        <w:rPr>
          <w:color w:val="444444"/>
          <w:sz w:val="17"/>
          <w:szCs w:val="17"/>
        </w:rPr>
        <w:t xml:space="preserve">The section with the highest value in dispute. Start, end, cause, affected works — and whether a notice of disruption under § 6 (1) VOB/B was given. The diary entry does not replace the notice.</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From – to</w:t>
            </w:r>
          </w:p>
        </w:tc>
        <w:tc>
          <w:tcPr>
            <w:tcW w:type="dxa" w:w="2188"/>
            <w:shd w:fill="F2F2F2" w:color="auto" w:val="clear"/>
            <w:tcMar>
              <w:top w:type="dxa" w:w="60"/>
              <w:left w:type="dxa" w:w="90"/>
              <w:bottom w:type="dxa" w:w="60"/>
              <w:right w:type="dxa" w:w="90"/>
            </w:tcMar>
          </w:tcPr>
          <w:p>
            <w:r>
              <w:rPr>
                <w:b/>
                <w:bCs/>
                <w:sz w:val="15"/>
                <w:szCs w:val="15"/>
              </w:rPr>
              <w:t xml:space="preserve">Type / cause</w:t>
            </w:r>
          </w:p>
        </w:tc>
        <w:tc>
          <w:tcPr>
            <w:tcW w:type="dxa" w:w="2188"/>
            <w:shd w:fill="F2F2F2" w:color="auto" w:val="clear"/>
            <w:tcMar>
              <w:top w:type="dxa" w:w="60"/>
              <w:left w:type="dxa" w:w="90"/>
              <w:bottom w:type="dxa" w:w="60"/>
              <w:right w:type="dxa" w:w="90"/>
            </w:tcMar>
          </w:tcPr>
          <w:p>
            <w:r>
              <w:rPr>
                <w:b/>
                <w:bCs/>
                <w:sz w:val="15"/>
                <w:szCs w:val="15"/>
              </w:rPr>
              <w:t xml:space="preserve">Affected works and companies</w:t>
            </w:r>
          </w:p>
        </w:tc>
        <w:tc>
          <w:tcPr>
            <w:tcW w:type="dxa" w:w="2188"/>
            <w:shd w:fill="F2F2F2" w:color="auto" w:val="clear"/>
            <w:tcMar>
              <w:top w:type="dxa" w:w="60"/>
              <w:left w:type="dxa" w:w="90"/>
              <w:bottom w:type="dxa" w:w="60"/>
              <w:right w:type="dxa" w:w="90"/>
            </w:tcMar>
          </w:tcPr>
          <w:p>
            <w:r>
              <w:rPr>
                <w:b/>
                <w:bCs/>
                <w:sz w:val="15"/>
                <w:szCs w:val="15"/>
              </w:rPr>
              <w:t xml:space="preserve">Notice under § 6 VOB/B</w:t>
            </w:r>
          </w:p>
        </w:tc>
        <w:tc>
          <w:tcPr>
            <w:tcW w:type="dxa" w:w="2188"/>
            <w:shd w:fill="F2F2F2" w:color="auto" w:val="clear"/>
            <w:tcMar>
              <w:top w:type="dxa" w:w="60"/>
              <w:left w:type="dxa" w:w="90"/>
              <w:bottom w:type="dxa" w:w="60"/>
              <w:right w:type="dxa" w:w="90"/>
            </w:tcMar>
          </w:tcPr>
          <w:p>
            <w:r>
              <w:rPr>
                <w:b/>
                <w:bCs/>
                <w:sz w:val="15"/>
                <w:szCs w:val="15"/>
              </w:rPr>
              <w:t xml:space="preserve">Remark / attachment</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8 — Instructions, directions, decisions</w:t>
      </w:r>
    </w:p>
    <w:p>
      <w:pPr>
        <w:spacing w:after="160"/>
      </w:pPr>
      <w:r>
        <w:rPr>
          <w:color w:val="444444"/>
          <w:sz w:val="17"/>
          <w:szCs w:val="17"/>
        </w:rPr>
        <w:t xml:space="preserve">Instructions by the client (§ 4 (1) no. 3 VOB/B) and decisions by site supervision with addressee, drawing reference and deadline. Given orally, recorded here in writing — in a dispute that is the only trace.</w:t>
      </w:r>
    </w:p>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600"/>
        <w:gridCol w:w="2188"/>
        <w:gridCol w:w="2188"/>
        <w:gridCol w:w="2188"/>
        <w:gridCol w:w="2188"/>
      </w:tblGrid>
      <w:tr>
        <w:trPr>
          <w:tblHeader/>
        </w:trPr>
        <w:tc>
          <w:tcPr>
            <w:tcW w:type="dxa" w:w="600"/>
            <w:shd w:fill="F2F2F2" w:color="auto" w:val="clear"/>
            <w:tcMar>
              <w:top w:type="dxa" w:w="60"/>
              <w:left w:type="dxa" w:w="90"/>
              <w:bottom w:type="dxa" w:w="60"/>
              <w:right w:type="dxa" w:w="90"/>
            </w:tcMar>
          </w:tcPr>
          <w:p>
            <w:r>
              <w:rPr>
                <w:b/>
                <w:bCs/>
                <w:sz w:val="15"/>
                <w:szCs w:val="15"/>
              </w:rPr>
              <w:t xml:space="preserve">No.</w:t>
            </w:r>
          </w:p>
        </w:tc>
        <w:tc>
          <w:tcPr>
            <w:tcW w:type="dxa" w:w="2188"/>
            <w:shd w:fill="F2F2F2" w:color="auto" w:val="clear"/>
            <w:tcMar>
              <w:top w:type="dxa" w:w="60"/>
              <w:left w:type="dxa" w:w="90"/>
              <w:bottom w:type="dxa" w:w="60"/>
              <w:right w:type="dxa" w:w="90"/>
            </w:tcMar>
          </w:tcPr>
          <w:p>
            <w:r>
              <w:rPr>
                <w:b/>
                <w:bCs/>
                <w:sz w:val="15"/>
                <w:szCs w:val="15"/>
              </w:rPr>
              <w:t xml:space="preserve">Addressee</w:t>
            </w:r>
          </w:p>
        </w:tc>
        <w:tc>
          <w:tcPr>
            <w:tcW w:type="dxa" w:w="2188"/>
            <w:shd w:fill="F2F2F2" w:color="auto" w:val="clear"/>
            <w:tcMar>
              <w:top w:type="dxa" w:w="60"/>
              <w:left w:type="dxa" w:w="90"/>
              <w:bottom w:type="dxa" w:w="60"/>
              <w:right w:type="dxa" w:w="90"/>
            </w:tcMar>
          </w:tcPr>
          <w:p>
            <w:r>
              <w:rPr>
                <w:b/>
                <w:bCs/>
                <w:sz w:val="15"/>
                <w:szCs w:val="15"/>
              </w:rPr>
              <w:t xml:space="preserve">Content (with drawing revision)</w:t>
            </w:r>
          </w:p>
        </w:tc>
        <w:tc>
          <w:tcPr>
            <w:tcW w:type="dxa" w:w="2188"/>
            <w:shd w:fill="F2F2F2" w:color="auto" w:val="clear"/>
            <w:tcMar>
              <w:top w:type="dxa" w:w="60"/>
              <w:left w:type="dxa" w:w="90"/>
              <w:bottom w:type="dxa" w:w="60"/>
              <w:right w:type="dxa" w:w="90"/>
            </w:tcMar>
          </w:tcPr>
          <w:p>
            <w:r>
              <w:rPr>
                <w:b/>
                <w:bCs/>
                <w:sz w:val="15"/>
                <w:szCs w:val="15"/>
              </w:rPr>
              <w:t xml:space="preserve">Deadline</w:t>
            </w:r>
          </w:p>
        </w:tc>
        <w:tc>
          <w:tcPr>
            <w:tcW w:type="dxa" w:w="2188"/>
            <w:shd w:fill="F2F2F2" w:color="auto" w:val="clear"/>
            <w:tcMar>
              <w:top w:type="dxa" w:w="60"/>
              <w:left w:type="dxa" w:w="90"/>
              <w:bottom w:type="dxa" w:w="60"/>
              <w:right w:type="dxa" w:w="90"/>
            </w:tcMar>
          </w:tcPr>
          <w:p>
            <w:r>
              <w:rPr>
                <w:b/>
                <w:bCs/>
                <w:sz w:val="15"/>
                <w:szCs w:val="15"/>
              </w:rPr>
              <w:t xml:space="preserve">Photo / attachment</w:t>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r>
        <w:trPr>
          <w:cantSplit/>
          <w:trHeight w:val="520" w:hRule="atLeast"/>
        </w:trPr>
        <w:tc>
          <w:tcPr>
            <w:tcW w:type="dxa" w:w="600"/>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c>
          <w:tcPr>
            <w:tcW w:type="dxa" w:w="2188"/>
            <w:tcMar>
              <w:top w:type="dxa" w:w="60"/>
              <w:left w:type="dxa" w:w="90"/>
              <w:bottom w:type="dxa" w:w="60"/>
              <w:right w:type="dxa" w:w="90"/>
            </w:tcMar>
          </w:tcPr>
          <w:p>
            <w:r>
              <w:rPr>
                <w:b w:val="false"/>
                <w:bCs w:val="false"/>
                <w:sz w:val="18"/>
                <w:szCs w:val="18"/>
              </w:rPr>
              <w:t xml:space="preserve"/>
            </w:r>
          </w:p>
        </w:tc>
      </w:tr>
    </w:tbl>
    <w:p>
      <w:pPr>
        <w:pStyle w:val="Heading2"/>
      </w:pPr>
      <w:r>
        <w:t xml:space="preserve">Part 9 — Special incidents, safety, samples</w:t>
      </w:r>
    </w:p>
    <w:p>
      <w:pPr>
        <w:spacing w:after="160"/>
      </w:pPr>
      <w:r>
        <w:rPr>
          <w:color w:val="444444"/>
          <w:sz w:val="17"/>
          <w:szCs w:val="17"/>
        </w:rPr>
        <w:t xml:space="preserve">Accidents and near misses, occupational safety, samples and tests, visits by authorities — everything that does not fit the tables but will be asked about later.</w:t>
      </w:r>
    </w:p>
    <w:p>
      <w:pPr>
        <w:keepNext/>
        <w:spacing w:after="30" w:before="160"/>
      </w:pPr>
      <w:r>
        <w:rPr>
          <w:color w:val="666666"/>
          <w:spacing w:val="20"/>
          <w:sz w:val="14"/>
          <w:szCs w:val="14"/>
        </w:rPr>
        <w:t xml:space="preserve">ACCIDENTS / NEAR MISSES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[Time, persons involved (role), sequence of events, immediate action, reported to — ☐ none]</w:t>
      </w:r>
    </w:p>
    <w:p>
      <w:pPr>
        <w:keepNext/>
        <w:spacing w:after="30" w:before="160"/>
      </w:pPr>
      <w:r>
        <w:rPr>
          <w:color w:val="666666"/>
          <w:spacing w:val="20"/>
          <w:sz w:val="14"/>
          <w:szCs w:val="14"/>
        </w:rPr>
        <w:t xml:space="preserve">OCCUPATIONAL SAFETY</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[Deficiencies found, actions taken, reported to the safety coordinator — ☐ no findings]</w:t>
      </w:r>
    </w:p>
    <w:p>
      <w:pPr>
        <w:keepNext/>
        <w:spacing w:after="30" w:before="160"/>
      </w:pPr>
      <w:r>
        <w:rPr>
          <w:color w:val="666666"/>
          <w:spacing w:val="20"/>
          <w:sz w:val="14"/>
          <w:szCs w:val="14"/>
        </w:rPr>
        <w:t xml:space="preserve">SAMPLES AND TESTS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[e.g. concrete cube no., leak test, measurement record — with attachment no.]</w:t>
      </w:r>
    </w:p>
    <w:p>
      <w:pPr>
        <w:keepNext/>
        <w:spacing w:after="30" w:before="160"/>
      </w:pPr>
      <w:r>
        <w:rPr>
          <w:color w:val="666666"/>
          <w:spacing w:val="20"/>
          <w:sz w:val="14"/>
          <w:szCs w:val="14"/>
        </w:rPr>
        <w:t xml:space="preserve">PHOTOS OF THE DAY</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No. </w:t>
      </w:r>
      <w:r>
        <w:rPr>
          <w:color w:val="777777"/>
          <w:sz w:val="17"/>
          <w:szCs w:val="17"/>
          <w:shd w:fill="EFEFEF" w:color="auto" w:val="clear"/>
        </w:rPr>
        <w:t xml:space="preserve">[from]</w:t>
      </w:r>
      <w:r>
        <w:rPr>
          <w:color w:val="777777"/>
          <w:sz w:val="17"/>
          <w:szCs w:val="17"/>
        </w:rPr>
        <w:t xml:space="preserve"> to </w:t>
      </w:r>
      <w:r>
        <w:rPr>
          <w:color w:val="777777"/>
          <w:sz w:val="17"/>
          <w:szCs w:val="17"/>
          <w:shd w:fill="EFEFEF" w:color="auto" w:val="clear"/>
        </w:rPr>
        <w:t xml:space="preserve">[to]</w:t>
      </w:r>
      <w:r>
        <w:rPr>
          <w:color w:val="777777"/>
          <w:sz w:val="17"/>
          <w:szCs w:val="17"/>
        </w:rPr>
        <w:t xml:space="preserve"> — storage location </w:t>
      </w:r>
      <w:r>
        <w:rPr>
          <w:color w:val="777777"/>
          <w:sz w:val="17"/>
          <w:szCs w:val="17"/>
          <w:shd w:fill="EFEFEF" w:color="auto" w:val="clear"/>
        </w:rPr>
        <w:t xml:space="preserve">[project file / system]</w:t>
      </w:r>
    </w:p>
    <w:p>
      <w:pPr>
        <w:keepNext/>
        <w:spacing w:after="30" w:before="160"/>
      </w:pPr>
      <w:r>
        <w:rPr>
          <w:color w:val="666666"/>
          <w:spacing w:val="20"/>
          <w:sz w:val="14"/>
          <w:szCs w:val="14"/>
        </w:rPr>
        <w:t xml:space="preserve">OTHER</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[Visits by authorities, neighbour complaints, theft, vandalism — time and report]</w:t>
      </w:r>
    </w:p>
    <w:p>
      <w:pPr>
        <w:pStyle w:val="Heading2"/>
      </w:pPr>
      <w:r>
        <w:t xml:space="preserve">Part 10 — Approval and distribution</w:t>
      </w:r>
    </w:p>
    <w:p>
      <w:pPr>
        <w:spacing w:after="160"/>
      </w:pPr>
      <w:r>
        <w:rPr>
          <w:color w:val="444444"/>
          <w:sz w:val="17"/>
          <w:szCs w:val="17"/>
        </w:rPr>
        <w:t xml:space="preserve">The report is finished when it has been approved and distributed. A new version never replaces the old one — it is added to it.</w:t>
      </w:r>
    </w:p>
    <w:p>
      <w:pPr>
        <w:keepNext/>
        <w:spacing w:after="30" w:before="160"/>
      </w:pPr>
      <w:r>
        <w:rPr>
          <w:color w:val="666666"/>
          <w:spacing w:val="20"/>
          <w:sz w:val="14"/>
          <w:szCs w:val="14"/>
        </w:rPr>
        <w:t xml:space="preserve">PREPARED</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function]</w:t>
      </w:r>
      <w:r>
        <w:rPr>
          <w:color w:val="777777"/>
          <w:sz w:val="17"/>
          <w:szCs w:val="17"/>
        </w:rPr>
        <w:t xml:space="preserve"> — </w:t>
      </w:r>
      <w:r>
        <w:rPr>
          <w:color w:val="777777"/>
          <w:sz w:val="17"/>
          <w:szCs w:val="17"/>
          <w:shd w:fill="EFEFEF" w:color="auto" w:val="clear"/>
        </w:rPr>
        <w:t xml:space="preserve">[date, time]</w:t>
      </w:r>
      <w:r>
        <w:rPr>
          <w:color w:val="777777"/>
          <w:sz w:val="17"/>
          <w:szCs w:val="17"/>
        </w:rPr>
        <w:t xml:space="preserve">, signature</w:t>
      </w:r>
    </w:p>
    <w:p>
      <w:pPr>
        <w:keepNext/>
        <w:spacing w:after="30" w:before="160"/>
      </w:pPr>
      <w:r>
        <w:rPr>
          <w:color w:val="666666"/>
          <w:spacing w:val="20"/>
          <w:sz w:val="14"/>
          <w:szCs w:val="14"/>
        </w:rPr>
        <w:t xml:space="preserve">APPROVED</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shd w:fill="EFEFEF" w:color="auto" w:val="clear"/>
        </w:rPr>
        <w:t xml:space="preserve">[Name, function]</w:t>
      </w:r>
      <w:r>
        <w:rPr>
          <w:color w:val="777777"/>
          <w:sz w:val="17"/>
          <w:szCs w:val="17"/>
        </w:rPr>
        <w:t xml:space="preserve"> — </w:t>
      </w:r>
      <w:r>
        <w:rPr>
          <w:color w:val="777777"/>
          <w:sz w:val="17"/>
          <w:szCs w:val="17"/>
          <w:shd w:fill="EFEFEF" w:color="auto" w:val="clear"/>
        </w:rPr>
        <w:t xml:space="preserve">[date]</w:t>
      </w:r>
      <w:r>
        <w:rPr>
          <w:color w:val="777777"/>
          <w:sz w:val="17"/>
          <w:szCs w:val="17"/>
        </w:rPr>
        <w:t xml:space="preserve">, signature ☐ version </w:t>
      </w:r>
      <w:r>
        <w:rPr>
          <w:color w:val="777777"/>
          <w:sz w:val="17"/>
          <w:szCs w:val="17"/>
          <w:shd w:fill="EFEFEF" w:color="auto" w:val="clear"/>
        </w:rPr>
        <w:t xml:space="preserve">[no.]</w:t>
      </w:r>
      <w:r>
        <w:rPr>
          <w:color w:val="777777"/>
          <w:sz w:val="17"/>
          <w:szCs w:val="17"/>
        </w:rPr>
        <w:t xml:space="preserve"> supersedes version </w:t>
      </w:r>
      <w:r>
        <w:rPr>
          <w:color w:val="777777"/>
          <w:sz w:val="17"/>
          <w:szCs w:val="17"/>
          <w:shd w:fill="EFEFEF" w:color="auto" w:val="clear"/>
        </w:rPr>
        <w:t xml:space="preserve">[no.]</w:t>
      </w:r>
      <w:r>
        <w:rPr>
          <w:color w:val="777777"/>
          <w:sz w:val="17"/>
          <w:szCs w:val="17"/>
        </w:rPr>
        <w:t xml:space="preserve"> (reason: </w:t>
      </w:r>
      <w:r>
        <w:rPr>
          <w:color w:val="777777"/>
          <w:sz w:val="17"/>
          <w:szCs w:val="17"/>
          <w:shd w:fill="EFEFEF" w:color="auto" w:val="clear"/>
        </w:rPr>
        <w:t xml:space="preserve">[correction]</w:t>
      </w:r>
      <w:r>
        <w:rPr>
          <w:color w:val="777777"/>
          <w:sz w:val="17"/>
          <w:szCs w:val="17"/>
        </w:rPr>
        <w:t xml:space="preserve">)</w:t>
      </w:r>
    </w:p>
    <w:p>
      <w:pPr>
        <w:keepNext/>
        <w:spacing w:after="30" w:before="160"/>
      </w:pPr>
      <w:r>
        <w:rPr>
          <w:color w:val="666666"/>
          <w:spacing w:val="20"/>
          <w:sz w:val="14"/>
          <w:szCs w:val="14"/>
        </w:rPr>
        <w:t xml:space="preserve">DISTRIBUTION</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Project file ☐ Client (external version) ☐ Subcontractor </w:t>
      </w:r>
      <w:r>
        <w:rPr>
          <w:color w:val="777777"/>
          <w:sz w:val="17"/>
          <w:szCs w:val="17"/>
          <w:shd w:fill="EFEFEF" w:color="auto" w:val="clear"/>
        </w:rPr>
        <w:t xml:space="preserve">[company]</w:t>
      </w:r>
      <w:r>
        <w:rPr>
          <w:color w:val="777777"/>
          <w:sz w:val="17"/>
          <w:szCs w:val="17"/>
        </w:rPr>
        <w:t xml:space="preserve"> — sent on </w:t>
      </w:r>
      <w:r>
        <w:rPr>
          <w:color w:val="777777"/>
          <w:sz w:val="17"/>
          <w:szCs w:val="17"/>
          <w:shd w:fill="EFEFEF" w:color="auto" w:val="clear"/>
        </w:rPr>
        <w:t xml:space="preserve">[date]</w:t>
      </w:r>
      <w:r>
        <w:rPr>
          <w:color w:val="777777"/>
          <w:sz w:val="17"/>
          <w:szCs w:val="17"/>
        </w:rPr>
        <w:t xml:space="preserve">, by </w:t>
      </w:r>
      <w:r>
        <w:rPr>
          <w:color w:val="777777"/>
          <w:sz w:val="17"/>
          <w:szCs w:val="17"/>
          <w:shd w:fill="EFEFEF" w:color="auto" w:val="clear"/>
        </w:rPr>
        <w:t xml:space="preserve">[e-mail / system / hand-over]</w:t>
      </w:r>
    </w:p>
    <w:p>
      <w:pPr>
        <w:keepNext/>
        <w:spacing w:after="30" w:before="160"/>
      </w:pPr>
      <w:r>
        <w:rPr>
          <w:color w:val="666666"/>
          <w:spacing w:val="20"/>
          <w:sz w:val="14"/>
          <w:szCs w:val="14"/>
        </w:rPr>
        <w:t xml:space="preserve">ATTACHMENTS</w:t>
      </w:r>
    </w:p>
    <w:p>
      <w:pPr>
        <w:pBdr>
          <w:top w:val="single" w:color="BBBBBB" w:sz="4" w:space="6"/>
          <w:bottom w:val="single" w:color="BBBBBB" w:sz="4" w:space="6"/>
          <w:left w:val="single" w:color="BBBBBB" w:sz="4" w:space="6"/>
          <w:right w:val="single" w:color="BBBBBB" w:sz="4" w:space="6"/>
        </w:pBdr>
        <w:spacing w:after="60" w:line="320"/>
      </w:pPr>
      <w:r>
        <w:rPr>
          <w:color w:val="777777"/>
          <w:sz w:val="17"/>
          <w:szCs w:val="17"/>
        </w:rPr>
        <w:t xml:space="preserve">☐ Photos ☐ Delivery notes ☐ Notice of disruption ☐ Daywork sheets (§ 15 (3) VOB/B) ☐ Measurement records ☐ </w:t>
      </w:r>
      <w:r>
        <w:rPr>
          <w:color w:val="777777"/>
          <w:sz w:val="17"/>
          <w:szCs w:val="17"/>
          <w:shd w:fill="EFEFEF" w:color="auto" w:val="clear"/>
        </w:rPr>
        <w:t xml:space="preserve">[others]</w:t>
      </w:r>
    </w:p>
    <w:sectPr>
      <w:footerReference w:type="default" r:id="rId7"/>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https://openexperience.de/en/wissen/bautagebuch-vorlage/ · Page </w:t>
    </w:r>
    <w:r>
      <w:rPr>
        <w:color w:val="666666"/>
        <w:sz w:val="15"/>
        <w:szCs w:val="15"/>
      </w:rPr>
      <w:fldChar w:fldCharType="begin"/>
      <w:instrText xml:space="preserve">PAGE</w:instrText>
      <w:fldChar w:fldCharType="separate"/>
      <w:fldChar w:fldCharType="end"/>
    </w:r>
    <w:r>
      <w:rPr>
        <w:color w:val="666666"/>
        <w:sz w:val="15"/>
        <w:szCs w:val="15"/>
      </w:rPr>
      <w:t xml:space="preserve"> of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14j2mtuyrjzyvfpkevhw" Type="http://schemas.openxmlformats.org/officeDocument/2006/relationships/hyperlink" Target="https://www.gesetze-im-internet.de/hoai_2013/anlage_10.html" TargetMode="External"/><Relationship Id="rIdfaekxq9-dirrpi6a3cjng" Type="http://schemas.openxmlformats.org/officeDocument/2006/relationships/hyperlink" Target="https://www.bmwsb.bund.de/SharedDocs/downloads/DE/veroeffentlichungen/bauen/vob-teil-b.pdf?__blob=publicationFile&amp;v=1" TargetMode="External"/><Relationship Id="rIdodk0-xm4bzaybyuzzt-yh" Type="http://schemas.openxmlformats.org/officeDocument/2006/relationships/hyperlink" Target="https://www.gesetze-im-internet.de/bgb/__650b.html"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diary template: the daily report that still holds up years later</dc:title>
  <dc:subject>site diary template</dc:subject>
  <dc:creator>Open Experience GmbH</dc:creator>
  <cp:keywords>site diary template</cp:keywords>
  <dc:description>Daily report template for the site diary with weather, staffing, work done, disruptions and instructions — plus three completed site days. Word and PDF, no sign-up.</dc:description>
  <cp:lastModifiedBy>Open Experience GmbH</cp:lastModifiedBy>
  <cp:revision>1</cp:revision>
  <dcterms:created xsi:type="dcterms:W3CDTF">2026-09-08T15:23:19.910Z</dcterms:created>
  <dcterms:modified xsi:type="dcterms:W3CDTF">2026-09-08T15:23:19.911Z</dcterms:modified>
</cp:coreProperties>
</file>

<file path=docProps/custom.xml><?xml version="1.0" encoding="utf-8"?>
<Properties xmlns="http://schemas.openxmlformats.org/officeDocument/2006/custom-properties" xmlns:vt="http://schemas.openxmlformats.org/officeDocument/2006/docPropsVTypes"/>
</file>